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E2FB13" w14:textId="77777777" w:rsidR="00F2052D" w:rsidRDefault="00F2052D" w:rsidP="00F2052D">
      <w:pPr>
        <w:tabs>
          <w:tab w:val="left" w:pos="720"/>
        </w:tabs>
        <w:jc w:val="center"/>
        <w:rPr>
          <w:b/>
        </w:rPr>
      </w:pPr>
      <w:r>
        <w:rPr>
          <w:b/>
        </w:rPr>
        <w:t>UNITED STATES DISTRICT COURT</w:t>
      </w:r>
    </w:p>
    <w:p w14:paraId="0AC6E531" w14:textId="77777777" w:rsidR="005E017B" w:rsidRDefault="00F2052D" w:rsidP="00F2052D">
      <w:pPr>
        <w:tabs>
          <w:tab w:val="left" w:pos="720"/>
        </w:tabs>
        <w:jc w:val="center"/>
        <w:rPr>
          <w:b/>
        </w:rPr>
      </w:pPr>
      <w:r>
        <w:rPr>
          <w:b/>
        </w:rPr>
        <w:t>DISTRICT OF MOOT</w:t>
      </w:r>
    </w:p>
    <w:p w14:paraId="0B5341C0" w14:textId="77777777" w:rsidR="005E017B" w:rsidRDefault="005E017B" w:rsidP="00F2052D">
      <w:pPr>
        <w:tabs>
          <w:tab w:val="left" w:pos="720"/>
        </w:tabs>
        <w:jc w:val="center"/>
        <w:rPr>
          <w:b/>
        </w:rPr>
      </w:pPr>
      <w:r>
        <w:rPr>
          <w:b/>
        </w:rPr>
        <w:t>______________________________________________________________________________</w:t>
      </w:r>
    </w:p>
    <w:p w14:paraId="140E1807" w14:textId="77777777" w:rsidR="00F2052D" w:rsidRDefault="00F2052D" w:rsidP="00F2052D">
      <w:pPr>
        <w:tabs>
          <w:tab w:val="left" w:pos="720"/>
        </w:tabs>
        <w:jc w:val="center"/>
        <w:rPr>
          <w:b/>
        </w:rPr>
      </w:pPr>
    </w:p>
    <w:tbl>
      <w:tblPr>
        <w:tblW w:w="0" w:type="auto"/>
        <w:tblLayout w:type="fixed"/>
        <w:tblLook w:val="0000" w:firstRow="0" w:lastRow="0" w:firstColumn="0" w:lastColumn="0" w:noHBand="0" w:noVBand="0"/>
      </w:tblPr>
      <w:tblGrid>
        <w:gridCol w:w="4428"/>
        <w:gridCol w:w="4428"/>
      </w:tblGrid>
      <w:tr w:rsidR="00F2052D" w14:paraId="5401D058" w14:textId="77777777">
        <w:tc>
          <w:tcPr>
            <w:tcW w:w="4428" w:type="dxa"/>
          </w:tcPr>
          <w:p w14:paraId="7BBC7DA3" w14:textId="77777777" w:rsidR="00F2052D" w:rsidRDefault="00F2052D" w:rsidP="004642AE">
            <w:pPr>
              <w:pStyle w:val="Footer"/>
              <w:widowControl w:val="0"/>
              <w:tabs>
                <w:tab w:val="clear" w:pos="4320"/>
                <w:tab w:val="clear" w:pos="8640"/>
                <w:tab w:val="left" w:pos="720"/>
              </w:tabs>
              <w:rPr>
                <w:snapToGrid w:val="0"/>
              </w:rPr>
            </w:pPr>
            <w:r>
              <w:rPr>
                <w:snapToGrid w:val="0"/>
              </w:rPr>
              <w:t xml:space="preserve">OGS TV, INC.,         </w:t>
            </w:r>
          </w:p>
          <w:p w14:paraId="092CBFCB" w14:textId="77777777" w:rsidR="00F2052D" w:rsidRDefault="00F2052D" w:rsidP="004642AE">
            <w:pPr>
              <w:pStyle w:val="Footer"/>
              <w:widowControl w:val="0"/>
              <w:tabs>
                <w:tab w:val="clear" w:pos="4320"/>
                <w:tab w:val="clear" w:pos="8640"/>
                <w:tab w:val="left" w:pos="720"/>
              </w:tabs>
              <w:rPr>
                <w:snapToGrid w:val="0"/>
              </w:rPr>
            </w:pPr>
            <w:r>
              <w:rPr>
                <w:snapToGrid w:val="0"/>
              </w:rPr>
              <w:t xml:space="preserve">                          Plaintiff</w:t>
            </w:r>
          </w:p>
          <w:p w14:paraId="14C67FAD" w14:textId="77777777" w:rsidR="00F2052D" w:rsidRDefault="00F2052D" w:rsidP="004642AE">
            <w:pPr>
              <w:pStyle w:val="Footer"/>
              <w:widowControl w:val="0"/>
              <w:tabs>
                <w:tab w:val="clear" w:pos="4320"/>
                <w:tab w:val="clear" w:pos="8640"/>
                <w:tab w:val="left" w:pos="720"/>
              </w:tabs>
              <w:rPr>
                <w:snapToGrid w:val="0"/>
              </w:rPr>
            </w:pPr>
          </w:p>
        </w:tc>
        <w:tc>
          <w:tcPr>
            <w:tcW w:w="4428" w:type="dxa"/>
          </w:tcPr>
          <w:p w14:paraId="1E1CDAC7" w14:textId="77777777" w:rsidR="00F2052D" w:rsidRDefault="00F2052D" w:rsidP="004642AE">
            <w:pPr>
              <w:pStyle w:val="Footer"/>
              <w:widowControl w:val="0"/>
              <w:tabs>
                <w:tab w:val="clear" w:pos="4320"/>
                <w:tab w:val="clear" w:pos="8640"/>
                <w:tab w:val="left" w:pos="720"/>
              </w:tabs>
              <w:jc w:val="right"/>
              <w:rPr>
                <w:snapToGrid w:val="0"/>
              </w:rPr>
            </w:pPr>
            <w:r>
              <w:rPr>
                <w:snapToGrid w:val="0"/>
              </w:rPr>
              <w:t xml:space="preserve">               Court File No. 27-CV-12-1234</w:t>
            </w:r>
          </w:p>
        </w:tc>
      </w:tr>
      <w:tr w:rsidR="00F2052D" w14:paraId="37DF8A90" w14:textId="77777777">
        <w:tc>
          <w:tcPr>
            <w:tcW w:w="4428" w:type="dxa"/>
          </w:tcPr>
          <w:p w14:paraId="64A2A7D1" w14:textId="77777777" w:rsidR="00F2052D" w:rsidRDefault="00F2052D" w:rsidP="004642AE">
            <w:pPr>
              <w:pStyle w:val="Footer"/>
              <w:widowControl w:val="0"/>
              <w:tabs>
                <w:tab w:val="clear" w:pos="4320"/>
                <w:tab w:val="clear" w:pos="8640"/>
                <w:tab w:val="left" w:pos="720"/>
              </w:tabs>
              <w:rPr>
                <w:snapToGrid w:val="0"/>
              </w:rPr>
            </w:pPr>
          </w:p>
          <w:p w14:paraId="4F0CF3B0" w14:textId="77777777" w:rsidR="00F2052D" w:rsidRDefault="00F2052D" w:rsidP="004642AE">
            <w:pPr>
              <w:pStyle w:val="Footer"/>
              <w:widowControl w:val="0"/>
              <w:tabs>
                <w:tab w:val="clear" w:pos="4320"/>
                <w:tab w:val="clear" w:pos="8640"/>
                <w:tab w:val="left" w:pos="720"/>
              </w:tabs>
              <w:rPr>
                <w:snapToGrid w:val="0"/>
              </w:rPr>
            </w:pPr>
            <w:r>
              <w:rPr>
                <w:snapToGrid w:val="0"/>
              </w:rPr>
              <w:t>v.</w:t>
            </w:r>
          </w:p>
        </w:tc>
        <w:tc>
          <w:tcPr>
            <w:tcW w:w="4428" w:type="dxa"/>
          </w:tcPr>
          <w:p w14:paraId="3EED7CF5" w14:textId="77777777" w:rsidR="00F2052D" w:rsidRPr="00707864" w:rsidRDefault="00F2052D" w:rsidP="004A5A10">
            <w:pPr>
              <w:pStyle w:val="Footer"/>
              <w:widowControl w:val="0"/>
              <w:tabs>
                <w:tab w:val="clear" w:pos="4320"/>
                <w:tab w:val="clear" w:pos="8640"/>
                <w:tab w:val="left" w:pos="720"/>
              </w:tabs>
              <w:jc w:val="right"/>
              <w:rPr>
                <w:b/>
                <w:snapToGrid w:val="0"/>
              </w:rPr>
            </w:pPr>
            <w:r w:rsidRPr="004A5A10">
              <w:rPr>
                <w:b/>
                <w:snapToGrid w:val="0"/>
              </w:rPr>
              <w:t>DEFENDANT</w:t>
            </w:r>
            <w:r w:rsidR="004A5A10">
              <w:rPr>
                <w:b/>
                <w:snapToGrid w:val="0"/>
              </w:rPr>
              <w:t>S</w:t>
            </w:r>
            <w:r w:rsidRPr="004A5A10">
              <w:rPr>
                <w:b/>
                <w:snapToGrid w:val="0"/>
              </w:rPr>
              <w:t>’ CONSOLIDATED MOTION</w:t>
            </w:r>
            <w:r>
              <w:rPr>
                <w:b/>
                <w:snapToGrid w:val="0"/>
              </w:rPr>
              <w:t xml:space="preserve"> </w:t>
            </w:r>
            <w:r>
              <w:rPr>
                <w:b/>
              </w:rPr>
              <w:t>TO DISMISS</w:t>
            </w:r>
          </w:p>
        </w:tc>
      </w:tr>
      <w:tr w:rsidR="00F2052D" w14:paraId="3FE703CD" w14:textId="77777777">
        <w:tc>
          <w:tcPr>
            <w:tcW w:w="4428" w:type="dxa"/>
          </w:tcPr>
          <w:p w14:paraId="15D37BB3" w14:textId="77777777" w:rsidR="00F2052D" w:rsidRDefault="00F2052D" w:rsidP="004642AE">
            <w:pPr>
              <w:pStyle w:val="Footer"/>
              <w:widowControl w:val="0"/>
              <w:tabs>
                <w:tab w:val="clear" w:pos="4320"/>
                <w:tab w:val="clear" w:pos="8640"/>
                <w:tab w:val="left" w:pos="720"/>
              </w:tabs>
              <w:rPr>
                <w:snapToGrid w:val="0"/>
              </w:rPr>
            </w:pPr>
          </w:p>
          <w:p w14:paraId="6D3D3D25" w14:textId="77777777" w:rsidR="00F2052D" w:rsidRDefault="00F2052D" w:rsidP="004642AE">
            <w:pPr>
              <w:pStyle w:val="Footer"/>
              <w:widowControl w:val="0"/>
              <w:tabs>
                <w:tab w:val="clear" w:pos="4320"/>
                <w:tab w:val="clear" w:pos="8640"/>
                <w:tab w:val="left" w:pos="720"/>
              </w:tabs>
              <w:rPr>
                <w:snapToGrid w:val="0"/>
              </w:rPr>
            </w:pPr>
            <w:r>
              <w:rPr>
                <w:snapToGrid w:val="0"/>
              </w:rPr>
              <w:t>Elizabeth Lime, and TinyTV, Inc.,</w:t>
            </w:r>
          </w:p>
          <w:p w14:paraId="615F9A58" w14:textId="77777777" w:rsidR="00F2052D" w:rsidRDefault="00F2052D" w:rsidP="004642AE">
            <w:pPr>
              <w:pStyle w:val="Footer"/>
              <w:widowControl w:val="0"/>
              <w:tabs>
                <w:tab w:val="clear" w:pos="4320"/>
                <w:tab w:val="clear" w:pos="8640"/>
                <w:tab w:val="left" w:pos="720"/>
              </w:tabs>
              <w:rPr>
                <w:snapToGrid w:val="0"/>
              </w:rPr>
            </w:pPr>
            <w:r>
              <w:rPr>
                <w:snapToGrid w:val="0"/>
              </w:rPr>
              <w:t xml:space="preserve">                        Defendants.</w:t>
            </w:r>
          </w:p>
        </w:tc>
        <w:tc>
          <w:tcPr>
            <w:tcW w:w="4428" w:type="dxa"/>
          </w:tcPr>
          <w:p w14:paraId="2BB0FD02" w14:textId="77777777" w:rsidR="00F2052D" w:rsidRPr="0076744E" w:rsidRDefault="00F2052D" w:rsidP="004642AE">
            <w:pPr>
              <w:tabs>
                <w:tab w:val="left" w:pos="720"/>
              </w:tabs>
              <w:jc w:val="right"/>
              <w:rPr>
                <w:b/>
              </w:rPr>
            </w:pPr>
          </w:p>
        </w:tc>
      </w:tr>
    </w:tbl>
    <w:p w14:paraId="1C89B3A7" w14:textId="77777777" w:rsidR="005E017B" w:rsidRDefault="005E017B">
      <w:r>
        <w:t>______________________________________________________________________________</w:t>
      </w:r>
    </w:p>
    <w:p w14:paraId="69BDE1E3" w14:textId="77777777" w:rsidR="005E017B" w:rsidRDefault="005E017B"/>
    <w:p w14:paraId="348FA199" w14:textId="77777777" w:rsidR="0023461E" w:rsidRDefault="0023461E"/>
    <w:p w14:paraId="05374626" w14:textId="77777777" w:rsidR="00F2052D" w:rsidRPr="00F2052D" w:rsidRDefault="00F2052D" w:rsidP="00F2052D">
      <w:pPr>
        <w:spacing w:line="480" w:lineRule="auto"/>
        <w:jc w:val="center"/>
        <w:rPr>
          <w:b/>
          <w:u w:val="single"/>
        </w:rPr>
      </w:pPr>
      <w:r w:rsidRPr="00F2052D">
        <w:rPr>
          <w:b/>
          <w:u w:val="single"/>
        </w:rPr>
        <w:t>INTRODUCTION</w:t>
      </w:r>
    </w:p>
    <w:p w14:paraId="348AD1EF" w14:textId="77777777" w:rsidR="00F74487" w:rsidRDefault="00F2052D" w:rsidP="00F061DC">
      <w:pPr>
        <w:pStyle w:val="BodyText"/>
        <w:tabs>
          <w:tab w:val="left" w:pos="720"/>
        </w:tabs>
        <w:spacing w:line="480" w:lineRule="auto"/>
        <w:jc w:val="left"/>
      </w:pPr>
      <w:r>
        <w:tab/>
      </w:r>
      <w:r w:rsidR="00F061DC">
        <w:t xml:space="preserve">The defendants, Elizabeth Lime (“Lime”) and TinyTV, Inc. (“TinyTV”) submit this memorandum in support of their motion to dismiss under Federal Rule of Civil Procedure 12(b)(6), failure to state a claim upon which relief can be granted. Plaintiff OGS TV, Inc. (“OGS”) claims </w:t>
      </w:r>
      <w:r w:rsidR="004A5A10">
        <w:t>that Defendants v</w:t>
      </w:r>
      <w:r w:rsidR="00F061DC">
        <w:t xml:space="preserve">iolated the federal Copyright Act of 1976, as amended, 17 U.S.C. §§ 101 et seq., by airing “The Love Below,” the pilot episode of </w:t>
      </w:r>
      <w:r w:rsidRPr="00042B20">
        <w:rPr>
          <w:i/>
        </w:rPr>
        <w:t>The Tin Can</w:t>
      </w:r>
      <w:r>
        <w:t>, on TinyTV</w:t>
      </w:r>
      <w:r w:rsidR="00F061DC">
        <w:t>’s television network</w:t>
      </w:r>
      <w:r>
        <w:t>.</w:t>
      </w:r>
      <w:r w:rsidR="002C7BCA">
        <w:t xml:space="preserve"> </w:t>
      </w:r>
      <w:r w:rsidR="004F4D01">
        <w:t>T</w:t>
      </w:r>
      <w:r w:rsidR="002C7BCA">
        <w:t>he screenplay for “The Love Below</w:t>
      </w:r>
      <w:r w:rsidR="004F4D01">
        <w:t>,</w:t>
      </w:r>
      <w:r w:rsidR="002C7BCA">
        <w:t>”</w:t>
      </w:r>
      <w:r w:rsidR="004F4D01">
        <w:t xml:space="preserve"> which Lime </w:t>
      </w:r>
      <w:r w:rsidR="005D3EA9">
        <w:t>co-produced with TinyTV</w:t>
      </w:r>
      <w:r w:rsidR="004F4D01">
        <w:t>,</w:t>
      </w:r>
      <w:r w:rsidR="002C7BCA">
        <w:t xml:space="preserve"> was copied in substantial part from</w:t>
      </w:r>
      <w:r w:rsidR="004F4D01">
        <w:t xml:space="preserve"> an </w:t>
      </w:r>
      <w:r w:rsidR="004A5A10">
        <w:t>unpublished and unused sc</w:t>
      </w:r>
      <w:r w:rsidR="00374DDF">
        <w:t xml:space="preserve">reenplay </w:t>
      </w:r>
      <w:r w:rsidR="004F4D01">
        <w:t xml:space="preserve">written by Lime </w:t>
      </w:r>
      <w:r w:rsidR="00F74487">
        <w:t>entitled “Anticipatory Breach.”</w:t>
      </w:r>
    </w:p>
    <w:p w14:paraId="4CA48528" w14:textId="77777777" w:rsidR="0023461E" w:rsidRDefault="00F74487" w:rsidP="00B50D2E">
      <w:pPr>
        <w:pStyle w:val="BodyText"/>
        <w:tabs>
          <w:tab w:val="left" w:pos="720"/>
        </w:tabs>
        <w:spacing w:line="480" w:lineRule="auto"/>
        <w:jc w:val="left"/>
      </w:pPr>
      <w:r>
        <w:tab/>
      </w:r>
      <w:r w:rsidR="004A5A10">
        <w:t xml:space="preserve">Plaintiff’s </w:t>
      </w:r>
      <w:r w:rsidR="004F4D01">
        <w:t>complaint is premised on the theory</w:t>
      </w:r>
      <w:r w:rsidR="00374DDF">
        <w:t xml:space="preserve"> that it owns the copyright to “Anticipatory Breach</w:t>
      </w:r>
      <w:r w:rsidR="004F4D01">
        <w:t>,</w:t>
      </w:r>
      <w:r w:rsidR="00374DDF">
        <w:t xml:space="preserve">” </w:t>
      </w:r>
      <w:r w:rsidR="004F4D01">
        <w:t>which it contends i</w:t>
      </w:r>
      <w:r w:rsidR="00374DDF">
        <w:t xml:space="preserve">s a work-made-for-hire </w:t>
      </w:r>
      <w:r w:rsidR="001736B6">
        <w:t>pursuant to</w:t>
      </w:r>
      <w:r w:rsidR="004A5A10">
        <w:t xml:space="preserve"> 17 U.S.C. § 201(b). However, </w:t>
      </w:r>
      <w:r w:rsidR="00670FC0">
        <w:rPr>
          <w:szCs w:val="24"/>
        </w:rPr>
        <w:t>P</w:t>
      </w:r>
      <w:r w:rsidR="00374DDF" w:rsidRPr="002E3DCF">
        <w:rPr>
          <w:szCs w:val="24"/>
        </w:rPr>
        <w:t>la</w:t>
      </w:r>
      <w:r w:rsidR="002E3DCF" w:rsidRPr="002E3DCF">
        <w:rPr>
          <w:szCs w:val="24"/>
        </w:rPr>
        <w:t xml:space="preserve">intiff </w:t>
      </w:r>
      <w:r w:rsidR="004F4D01">
        <w:rPr>
          <w:szCs w:val="24"/>
        </w:rPr>
        <w:t>own</w:t>
      </w:r>
      <w:r w:rsidR="002E3DCF" w:rsidRPr="002E3DCF">
        <w:rPr>
          <w:szCs w:val="24"/>
        </w:rPr>
        <w:t>s no such copyright</w:t>
      </w:r>
      <w:r w:rsidR="004A5A10">
        <w:rPr>
          <w:szCs w:val="24"/>
        </w:rPr>
        <w:t xml:space="preserve"> for the reasons discussed in more detail below. Elizabeth Lime should be allowed to use and adapt her own work however she wants. Therefore, Defendants’ motion to dismiss should be granted.</w:t>
      </w:r>
    </w:p>
    <w:p w14:paraId="5E95265F" w14:textId="77777777" w:rsidR="00F2052D" w:rsidRPr="005E017B" w:rsidRDefault="00F2052D" w:rsidP="00F2052D">
      <w:pPr>
        <w:pStyle w:val="BodyText"/>
        <w:tabs>
          <w:tab w:val="left" w:pos="720"/>
        </w:tabs>
        <w:spacing w:line="480" w:lineRule="auto"/>
        <w:jc w:val="center"/>
        <w:rPr>
          <w:b/>
          <w:u w:val="single"/>
        </w:rPr>
      </w:pPr>
      <w:r w:rsidRPr="005E017B">
        <w:rPr>
          <w:b/>
          <w:u w:val="single"/>
        </w:rPr>
        <w:t>FACTUAL BACKGROUND</w:t>
      </w:r>
    </w:p>
    <w:p w14:paraId="1AEDF85C" w14:textId="77777777" w:rsidR="00715976" w:rsidRDefault="00F2052D" w:rsidP="00715976">
      <w:pPr>
        <w:pStyle w:val="BodyText"/>
        <w:tabs>
          <w:tab w:val="left" w:pos="720"/>
        </w:tabs>
        <w:spacing w:line="480" w:lineRule="auto"/>
        <w:jc w:val="left"/>
      </w:pPr>
      <w:r>
        <w:tab/>
        <w:t>This case involves the following relevant undisputed facts.</w:t>
      </w:r>
    </w:p>
    <w:p w14:paraId="365D9FD7" w14:textId="77777777" w:rsidR="00B50718" w:rsidRDefault="00715976" w:rsidP="00715976">
      <w:pPr>
        <w:pStyle w:val="BodyText"/>
        <w:tabs>
          <w:tab w:val="left" w:pos="720"/>
        </w:tabs>
        <w:spacing w:line="480" w:lineRule="auto"/>
        <w:jc w:val="left"/>
      </w:pPr>
      <w:r>
        <w:lastRenderedPageBreak/>
        <w:tab/>
      </w:r>
      <w:r w:rsidR="00B50718">
        <w:t xml:space="preserve">On March 27, 2010, OGS contacted Lime to “specially commission” from her a screenplay for one episode of its television series </w:t>
      </w:r>
      <w:r w:rsidR="00B50718" w:rsidRPr="00B50718">
        <w:rPr>
          <w:i/>
        </w:rPr>
        <w:t>Lawless Love</w:t>
      </w:r>
      <w:r w:rsidR="00B50718">
        <w:t xml:space="preserve">. (Compl. ¶ 9). Lime </w:t>
      </w:r>
      <w:r w:rsidR="00170F27">
        <w:t>is a well-known television writer who was not an employee of OGS and who</w:t>
      </w:r>
      <w:r w:rsidR="00670FC0">
        <w:t xml:space="preserve"> had</w:t>
      </w:r>
      <w:r w:rsidR="00170F27">
        <w:t xml:space="preserve"> no prior</w:t>
      </w:r>
      <w:r w:rsidR="00B50718">
        <w:t xml:space="preserve"> working relationship with OGS.</w:t>
      </w:r>
      <w:r w:rsidR="004A5A10">
        <w:t xml:space="preserve"> </w:t>
      </w:r>
      <w:r w:rsidR="004A5A10" w:rsidRPr="004A5A10">
        <w:rPr>
          <w:i/>
        </w:rPr>
        <w:t>Id.</w:t>
      </w:r>
      <w:r w:rsidR="004A5A10">
        <w:t xml:space="preserve"> at ¶¶ 9, 11. </w:t>
      </w:r>
      <w:r w:rsidR="00170F27">
        <w:t xml:space="preserve">On the same day she was initially contacted, Lime agreed to write the screenplay in exchange for $6,000. </w:t>
      </w:r>
      <w:r w:rsidR="004A5A10" w:rsidRPr="004A5A10">
        <w:rPr>
          <w:i/>
        </w:rPr>
        <w:t>Id</w:t>
      </w:r>
      <w:r w:rsidR="00170F27" w:rsidRPr="004A5A10">
        <w:rPr>
          <w:i/>
        </w:rPr>
        <w:t>.</w:t>
      </w:r>
      <w:r w:rsidR="004A5A10">
        <w:t xml:space="preserve"> at ¶ 15</w:t>
      </w:r>
      <w:r w:rsidR="00170F27">
        <w:t>. Five days later</w:t>
      </w:r>
      <w:r w:rsidR="00F2052D">
        <w:t xml:space="preserve">, Lime </w:t>
      </w:r>
      <w:r w:rsidR="00346BEF">
        <w:t>submitted to OGS</w:t>
      </w:r>
      <w:r w:rsidR="004F4D01">
        <w:t xml:space="preserve"> </w:t>
      </w:r>
      <w:r w:rsidR="00F2052D">
        <w:t>a screenplay ent</w:t>
      </w:r>
      <w:r w:rsidR="00346BEF">
        <w:t>itled “Anticipatory Repudiation</w:t>
      </w:r>
      <w:r w:rsidR="00170F27">
        <w:t xml:space="preserve">.” </w:t>
      </w:r>
      <w:r w:rsidR="004A5A10" w:rsidRPr="004A5A10">
        <w:rPr>
          <w:i/>
        </w:rPr>
        <w:t>Id.</w:t>
      </w:r>
      <w:r w:rsidR="004A5A10">
        <w:t xml:space="preserve"> at</w:t>
      </w:r>
      <w:r w:rsidR="004F4D01">
        <w:t xml:space="preserve"> ¶¶ </w:t>
      </w:r>
      <w:r w:rsidR="00346BEF">
        <w:t>9</w:t>
      </w:r>
      <w:r w:rsidR="004A5A10">
        <w:t>, 21</w:t>
      </w:r>
      <w:r w:rsidR="00F2052D">
        <w:t>.</w:t>
      </w:r>
      <w:r w:rsidR="00346BEF">
        <w:t xml:space="preserve"> </w:t>
      </w:r>
      <w:r w:rsidR="00170F27">
        <w:t>The next day, o</w:t>
      </w:r>
      <w:r w:rsidR="00346BEF">
        <w:t xml:space="preserve">n April 2, 2010, OGS registered “Anticipatory Repudiation” with the Register of Copyrights and received a certificate of registration for “Anticipatory Repudiation” dated April 2, 2010. </w:t>
      </w:r>
      <w:r w:rsidR="004A5A10" w:rsidRPr="004A5A10">
        <w:rPr>
          <w:i/>
        </w:rPr>
        <w:t>Id.</w:t>
      </w:r>
      <w:r w:rsidR="004A5A10">
        <w:t xml:space="preserve"> at</w:t>
      </w:r>
      <w:r w:rsidR="00346BEF">
        <w:t xml:space="preserve"> </w:t>
      </w:r>
      <w:r w:rsidR="004A5A10">
        <w:t>¶ 22.</w:t>
      </w:r>
    </w:p>
    <w:p w14:paraId="40C9BA58" w14:textId="77777777" w:rsidR="00715976" w:rsidRDefault="00B50718" w:rsidP="00715976">
      <w:pPr>
        <w:pStyle w:val="BodyText"/>
        <w:tabs>
          <w:tab w:val="left" w:pos="720"/>
        </w:tabs>
        <w:spacing w:line="480" w:lineRule="auto"/>
        <w:jc w:val="left"/>
      </w:pPr>
      <w:r>
        <w:tab/>
      </w:r>
      <w:r w:rsidR="00346BEF">
        <w:t xml:space="preserve">Four days after the </w:t>
      </w:r>
      <w:r w:rsidR="00715976">
        <w:t xml:space="preserve">copyright to the </w:t>
      </w:r>
      <w:r w:rsidR="00346BEF">
        <w:t>screenplay had been registered</w:t>
      </w:r>
      <w:r w:rsidR="00670FC0">
        <w:t>, on April 6, 2010, Lime and P</w:t>
      </w:r>
      <w:r w:rsidR="00715976">
        <w:t>laintiff’s agent Dave Nelson (“Nelson”) signed a document labeled “Work-Made-for-Hire Agreement.”</w:t>
      </w:r>
      <w:r w:rsidR="004A5A10">
        <w:t xml:space="preserve"> </w:t>
      </w:r>
      <w:r w:rsidR="004A5A10" w:rsidRPr="004A5A10">
        <w:rPr>
          <w:i/>
        </w:rPr>
        <w:t>Id.</w:t>
      </w:r>
      <w:r w:rsidR="004A5A10">
        <w:t xml:space="preserve"> at ¶¶ 10, 24, 25</w:t>
      </w:r>
      <w:r w:rsidR="00715976">
        <w:t xml:space="preserve">. The agreement stated in its entirety: “I understand and agree that I have prepared the screenplay, ‘Anticipatory Repudiation,’ as a work made for hire under the federal Copyright Act of 1976. Pursuant to this law, OGS TV is the author of this screenplay.” </w:t>
      </w:r>
      <w:r w:rsidR="004A5A10" w:rsidRPr="004A5A10">
        <w:rPr>
          <w:i/>
        </w:rPr>
        <w:t>Id.</w:t>
      </w:r>
      <w:r w:rsidR="004A5A10">
        <w:t xml:space="preserve"> at ¶ 24</w:t>
      </w:r>
      <w:r w:rsidR="00715976">
        <w:t>. Although Nelson had informed Lime of his intent to treat the screenplay as a work made for hire p</w:t>
      </w:r>
      <w:r>
        <w:t>rior to Lime beginnin</w:t>
      </w:r>
      <w:r w:rsidR="004A5A10">
        <w:t>g work on the screenplay</w:t>
      </w:r>
      <w:r>
        <w:t>, and although Lime manifested her consent, there was no written or signed</w:t>
      </w:r>
      <w:r w:rsidR="00715976">
        <w:t xml:space="preserve"> agreement prior to the completion of the screenplay.</w:t>
      </w:r>
      <w:r>
        <w:t xml:space="preserve"> </w:t>
      </w:r>
      <w:r w:rsidR="004A5A10" w:rsidRPr="004A5A10">
        <w:rPr>
          <w:i/>
        </w:rPr>
        <w:t>Id.</w:t>
      </w:r>
      <w:r w:rsidR="004A5A10">
        <w:t xml:space="preserve"> at ¶</w:t>
      </w:r>
      <w:r>
        <w:t>¶ 1</w:t>
      </w:r>
      <w:r w:rsidR="004A5A10">
        <w:t>6-1</w:t>
      </w:r>
      <w:r w:rsidR="00887195">
        <w:t>8</w:t>
      </w:r>
      <w:r>
        <w:t>.</w:t>
      </w:r>
    </w:p>
    <w:p w14:paraId="15FEA780" w14:textId="77777777" w:rsidR="00F2052D" w:rsidRPr="00887195" w:rsidRDefault="00B50718" w:rsidP="005D3EA9">
      <w:pPr>
        <w:pStyle w:val="BodyText"/>
        <w:tabs>
          <w:tab w:val="left" w:pos="720"/>
        </w:tabs>
        <w:spacing w:line="480" w:lineRule="auto"/>
        <w:jc w:val="left"/>
      </w:pPr>
      <w:r>
        <w:tab/>
        <w:t>On</w:t>
      </w:r>
      <w:r w:rsidR="00F2052D">
        <w:t xml:space="preserve"> June 1, 2010, </w:t>
      </w:r>
      <w:r w:rsidR="005D3EA9">
        <w:t>Nelson</w:t>
      </w:r>
      <w:r w:rsidR="00F2052D">
        <w:t xml:space="preserve"> informed </w:t>
      </w:r>
      <w:r w:rsidR="005D3EA9">
        <w:t xml:space="preserve">Lime </w:t>
      </w:r>
      <w:r w:rsidR="00F2052D">
        <w:t xml:space="preserve">that </w:t>
      </w:r>
      <w:r w:rsidR="005D3EA9">
        <w:t>OGS</w:t>
      </w:r>
      <w:r w:rsidR="00F2052D">
        <w:t xml:space="preserve"> executives were “not happy” with the quality of the screenplay and that the story did not fit the theme of the show. </w:t>
      </w:r>
      <w:r w:rsidR="00887195" w:rsidRPr="004A5A10">
        <w:rPr>
          <w:i/>
        </w:rPr>
        <w:t>Id.</w:t>
      </w:r>
      <w:r w:rsidR="00887195">
        <w:t xml:space="preserve"> at</w:t>
      </w:r>
      <w:r w:rsidR="00346BEF">
        <w:t xml:space="preserve"> ¶</w:t>
      </w:r>
      <w:r w:rsidR="00F2052D">
        <w:t xml:space="preserve"> </w:t>
      </w:r>
      <w:r w:rsidR="00887195">
        <w:t>26</w:t>
      </w:r>
      <w:r w:rsidR="005D3EA9">
        <w:t>.</w:t>
      </w:r>
      <w:r w:rsidR="00F2052D">
        <w:t xml:space="preserve"> </w:t>
      </w:r>
      <w:r w:rsidR="005D3EA9">
        <w:t>Nelson</w:t>
      </w:r>
      <w:r w:rsidR="00F2052D">
        <w:t xml:space="preserve"> specifically cited a “submarine chase sequence” as </w:t>
      </w:r>
      <w:r w:rsidR="005D3EA9">
        <w:t xml:space="preserve">“too expensive to film” and “particularly wrong” for </w:t>
      </w:r>
      <w:r w:rsidR="005D3EA9" w:rsidRPr="005D3EA9">
        <w:rPr>
          <w:i/>
        </w:rPr>
        <w:t>Lawless Love</w:t>
      </w:r>
      <w:r w:rsidR="00F2052D">
        <w:t xml:space="preserve">. </w:t>
      </w:r>
      <w:r w:rsidR="00887195" w:rsidRPr="004A5A10">
        <w:rPr>
          <w:i/>
        </w:rPr>
        <w:t>Id</w:t>
      </w:r>
      <w:r w:rsidR="00887195">
        <w:t>.</w:t>
      </w:r>
    </w:p>
    <w:p w14:paraId="656C91B2" w14:textId="77777777" w:rsidR="0023461E" w:rsidRDefault="00F2052D" w:rsidP="00F061DC">
      <w:pPr>
        <w:pStyle w:val="BodyText"/>
        <w:tabs>
          <w:tab w:val="left" w:pos="720"/>
        </w:tabs>
        <w:spacing w:line="480" w:lineRule="auto"/>
        <w:jc w:val="left"/>
      </w:pPr>
      <w:r>
        <w:tab/>
      </w:r>
      <w:r w:rsidR="005D3EA9">
        <w:t>In August 2010, Lime and TinyTV produced</w:t>
      </w:r>
      <w:r w:rsidR="00141D0B">
        <w:t xml:space="preserve"> “The Love Below,”</w:t>
      </w:r>
      <w:r w:rsidR="005D3EA9">
        <w:t xml:space="preserve"> a screenplay for the pilot</w:t>
      </w:r>
      <w:r w:rsidR="00141D0B">
        <w:t xml:space="preserve"> episode of </w:t>
      </w:r>
      <w:r w:rsidR="00141D0B" w:rsidRPr="009F1EB3">
        <w:rPr>
          <w:i/>
        </w:rPr>
        <w:t>The Tin Can</w:t>
      </w:r>
      <w:r w:rsidR="00141D0B">
        <w:t xml:space="preserve">, which they copied in substantial part </w:t>
      </w:r>
      <w:r w:rsidR="009F1EB3">
        <w:t>from Lime’s</w:t>
      </w:r>
      <w:r w:rsidR="00141D0B">
        <w:t xml:space="preserve"> unused </w:t>
      </w:r>
      <w:r w:rsidR="00141D0B">
        <w:lastRenderedPageBreak/>
        <w:t>“Anticipatory Repudiation” screenplay.</w:t>
      </w:r>
      <w:r w:rsidR="009F1EB3">
        <w:t xml:space="preserve"> </w:t>
      </w:r>
      <w:r w:rsidR="00887195" w:rsidRPr="004A5A10">
        <w:rPr>
          <w:i/>
        </w:rPr>
        <w:t>Id.</w:t>
      </w:r>
      <w:r w:rsidR="00887195">
        <w:t xml:space="preserve"> at ¶ 28</w:t>
      </w:r>
      <w:r w:rsidR="009F1EB3">
        <w:t xml:space="preserve">. Lime and TinyTV produced and performed the screenplay on television on September 7, 2010, and have broadcast and displayed the performance over television throughout the United States on TinyTV’s cable television channel. </w:t>
      </w:r>
      <w:r w:rsidR="00887195" w:rsidRPr="004A5A10">
        <w:rPr>
          <w:i/>
        </w:rPr>
        <w:t>Id.</w:t>
      </w:r>
      <w:r w:rsidR="00887195">
        <w:t xml:space="preserve"> at</w:t>
      </w:r>
      <w:r w:rsidR="009F1EB3">
        <w:t xml:space="preserve"> ¶</w:t>
      </w:r>
      <w:r w:rsidR="00887195">
        <w:t xml:space="preserve"> 29.</w:t>
      </w:r>
    </w:p>
    <w:p w14:paraId="111E3C59" w14:textId="77777777" w:rsidR="009F1EB3" w:rsidRPr="00CB5CED" w:rsidRDefault="005E017B" w:rsidP="00CB5CED">
      <w:pPr>
        <w:spacing w:line="480" w:lineRule="auto"/>
        <w:jc w:val="center"/>
        <w:rPr>
          <w:b/>
          <w:u w:val="single"/>
        </w:rPr>
      </w:pPr>
      <w:r w:rsidRPr="005E017B">
        <w:rPr>
          <w:b/>
          <w:u w:val="single"/>
        </w:rPr>
        <w:t>A</w:t>
      </w:r>
      <w:r>
        <w:rPr>
          <w:b/>
          <w:u w:val="single"/>
        </w:rPr>
        <w:t>RGUMENT</w:t>
      </w:r>
    </w:p>
    <w:p w14:paraId="4FFDDE46" w14:textId="77777777" w:rsidR="006B011C" w:rsidRDefault="006B011C" w:rsidP="00891319">
      <w:pPr>
        <w:rPr>
          <w:b/>
        </w:rPr>
      </w:pPr>
      <w:r>
        <w:rPr>
          <w:b/>
        </w:rPr>
        <w:t>I.</w:t>
      </w:r>
      <w:r>
        <w:rPr>
          <w:b/>
        </w:rPr>
        <w:tab/>
        <w:t>STANDARD OF REVIEW</w:t>
      </w:r>
    </w:p>
    <w:p w14:paraId="59450942" w14:textId="77777777" w:rsidR="006B011C" w:rsidRDefault="006B011C" w:rsidP="00891319"/>
    <w:p w14:paraId="4880FD0C" w14:textId="77777777" w:rsidR="006B011C" w:rsidRPr="006B011C" w:rsidRDefault="006B011C" w:rsidP="005A5931">
      <w:pPr>
        <w:spacing w:line="480" w:lineRule="auto"/>
      </w:pPr>
      <w:r>
        <w:tab/>
      </w:r>
      <w:r w:rsidR="00670FC0">
        <w:t>The court should dismiss P</w:t>
      </w:r>
      <w:r w:rsidR="005A5931">
        <w:t>laintiff’s claim with prejudice for failure to state a claim upon which relief can be granted.</w:t>
      </w:r>
      <w:r w:rsidR="002C0A90">
        <w:t xml:space="preserve"> Fed. R. Civ. P. 12(b)(6).</w:t>
      </w:r>
      <w:r w:rsidR="005A5931">
        <w:t xml:space="preserve"> </w:t>
      </w:r>
      <w:r w:rsidR="002C0A90">
        <w:t xml:space="preserve">A pleading that states a claim for relief must contain a short and plain statement of the claim showing that the pleader is entitled to relief. </w:t>
      </w:r>
      <w:r w:rsidR="005A5931">
        <w:t>Fed. R. Civ. P. 8</w:t>
      </w:r>
      <w:r w:rsidR="002C0A90">
        <w:t>(a)(2).</w:t>
      </w:r>
      <w:r w:rsidR="005A5931">
        <w:t xml:space="preserve"> </w:t>
      </w:r>
      <w:r w:rsidR="002C0A90">
        <w:t>In considering a motion to dismiss, the court must assume all factual allegations to be true. Accepting all allegations as true, if the plaintiff cannot assert a claim that is plausible on its face, the court must dismiss for failure to state a claim.</w:t>
      </w:r>
      <w:r w:rsidR="005A5931">
        <w:t xml:space="preserve"> </w:t>
      </w:r>
      <w:r w:rsidR="002C0A90" w:rsidRPr="002C0A90">
        <w:rPr>
          <w:i/>
        </w:rPr>
        <w:t>Bell Atl. Corp. v. Twombly,</w:t>
      </w:r>
      <w:r w:rsidR="002C0A90" w:rsidRPr="002C0A90">
        <w:t xml:space="preserve"> 550 U.S. 544</w:t>
      </w:r>
      <w:r w:rsidR="005A5931">
        <w:t>, 570</w:t>
      </w:r>
      <w:r w:rsidR="002C0A90">
        <w:t xml:space="preserve"> (2007).</w:t>
      </w:r>
    </w:p>
    <w:p w14:paraId="1778878F" w14:textId="77777777" w:rsidR="005D3EA9" w:rsidRDefault="006B011C" w:rsidP="00891319">
      <w:pPr>
        <w:rPr>
          <w:b/>
        </w:rPr>
      </w:pPr>
      <w:r>
        <w:rPr>
          <w:b/>
        </w:rPr>
        <w:t>I</w:t>
      </w:r>
      <w:r w:rsidR="005E017B" w:rsidRPr="00891319">
        <w:rPr>
          <w:b/>
        </w:rPr>
        <w:t>I.</w:t>
      </w:r>
      <w:r w:rsidR="005E017B" w:rsidRPr="00891319">
        <w:rPr>
          <w:b/>
        </w:rPr>
        <w:tab/>
      </w:r>
      <w:r w:rsidR="00891319">
        <w:rPr>
          <w:b/>
        </w:rPr>
        <w:t xml:space="preserve">THE “ANTICIPATORY REPUDIATION” SCREENPLAY DOES NOT QUALIFY </w:t>
      </w:r>
      <w:r w:rsidR="003209C6">
        <w:rPr>
          <w:b/>
        </w:rPr>
        <w:tab/>
      </w:r>
      <w:r w:rsidR="00891319">
        <w:rPr>
          <w:b/>
        </w:rPr>
        <w:t xml:space="preserve">UNDER </w:t>
      </w:r>
      <w:r w:rsidR="00670FC0">
        <w:rPr>
          <w:b/>
        </w:rPr>
        <w:t>THE COPYRIGHT ACT</w:t>
      </w:r>
      <w:r w:rsidR="00891319">
        <w:rPr>
          <w:b/>
        </w:rPr>
        <w:t xml:space="preserve"> AS A “WORK FOR HIRE” AND </w:t>
      </w:r>
      <w:r w:rsidR="003209C6">
        <w:rPr>
          <w:b/>
        </w:rPr>
        <w:tab/>
      </w:r>
      <w:r w:rsidR="00887195">
        <w:rPr>
          <w:b/>
        </w:rPr>
        <w:t>THEREFORE ELIZABETH L</w:t>
      </w:r>
      <w:r w:rsidR="00891319">
        <w:rPr>
          <w:b/>
        </w:rPr>
        <w:t xml:space="preserve">IME IS THE LEGAL AUTHOR AND </w:t>
      </w:r>
      <w:r w:rsidR="00887195">
        <w:rPr>
          <w:b/>
        </w:rPr>
        <w:tab/>
      </w:r>
      <w:r w:rsidR="00891319">
        <w:rPr>
          <w:b/>
        </w:rPr>
        <w:t>COPYRIGHT OWNER.</w:t>
      </w:r>
    </w:p>
    <w:p w14:paraId="05F53665" w14:textId="77777777" w:rsidR="00891319" w:rsidRPr="00891319" w:rsidRDefault="00891319" w:rsidP="00891319">
      <w:pPr>
        <w:rPr>
          <w:b/>
        </w:rPr>
      </w:pPr>
    </w:p>
    <w:p w14:paraId="2B347212" w14:textId="77777777" w:rsidR="00362CEF" w:rsidRDefault="00891319" w:rsidP="005E017B">
      <w:pPr>
        <w:spacing w:line="480" w:lineRule="auto"/>
        <w:rPr>
          <w:snapToGrid/>
          <w:szCs w:val="24"/>
        </w:rPr>
      </w:pPr>
      <w:r>
        <w:tab/>
      </w:r>
      <w:r w:rsidR="00A514B5">
        <w:t xml:space="preserve">Since “Anticipatory Repudiation” is not a work made for hire as defined by the federal Copyright Act, </w:t>
      </w:r>
      <w:r w:rsidR="00670FC0">
        <w:t xml:space="preserve">Elizabeth </w:t>
      </w:r>
      <w:r w:rsidR="00A514B5">
        <w:t xml:space="preserve">Lime is the legal author and copyright holder of the screenplay. </w:t>
      </w:r>
      <w:r>
        <w:t xml:space="preserve">The Copyright Act </w:t>
      </w:r>
      <w:r w:rsidR="00670FC0">
        <w:t>allows for on</w:t>
      </w:r>
      <w:r w:rsidR="00EC7C5C">
        <w:t>ly two scenarios in which a work can be treated as a work for hire.</w:t>
      </w:r>
      <w:r w:rsidR="00887195">
        <w:t xml:space="preserve"> </w:t>
      </w:r>
      <w:r w:rsidR="00887195">
        <w:rPr>
          <w:snapToGrid/>
          <w:szCs w:val="24"/>
        </w:rPr>
        <w:t>17 U.S.C.</w:t>
      </w:r>
      <w:r w:rsidR="00887195" w:rsidRPr="00891319">
        <w:rPr>
          <w:snapToGrid/>
          <w:szCs w:val="24"/>
        </w:rPr>
        <w:t xml:space="preserve"> § 101</w:t>
      </w:r>
      <w:r w:rsidR="00887195">
        <w:rPr>
          <w:snapToGrid/>
          <w:szCs w:val="24"/>
        </w:rPr>
        <w:t xml:space="preserve">. </w:t>
      </w:r>
      <w:r w:rsidR="00EC7C5C">
        <w:t>A</w:t>
      </w:r>
      <w:r>
        <w:t xml:space="preserve"> </w:t>
      </w:r>
      <w:r w:rsidR="00EC7C5C">
        <w:t>work</w:t>
      </w:r>
      <w:r>
        <w:t xml:space="preserve"> prepared “by an employee within the scope of his employment” </w:t>
      </w:r>
      <w:r w:rsidR="00EC7C5C">
        <w:t xml:space="preserve">is a work made for hire. </w:t>
      </w:r>
      <w:r w:rsidR="002579AE">
        <w:rPr>
          <w:snapToGrid/>
          <w:szCs w:val="24"/>
        </w:rPr>
        <w:t>17 U.S.C.</w:t>
      </w:r>
      <w:r w:rsidR="00EC7C5C" w:rsidRPr="00891319">
        <w:rPr>
          <w:snapToGrid/>
          <w:szCs w:val="24"/>
        </w:rPr>
        <w:t xml:space="preserve"> § 101</w:t>
      </w:r>
      <w:r w:rsidR="00EC7C5C">
        <w:rPr>
          <w:snapToGrid/>
          <w:szCs w:val="24"/>
        </w:rPr>
        <w:t>(1). If the work was not created by an employee, then a</w:t>
      </w:r>
      <w:r>
        <w:t xml:space="preserve"> work</w:t>
      </w:r>
      <w:r w:rsidR="00EC7C5C">
        <w:t xml:space="preserve"> is not a “work for hire” unless it was</w:t>
      </w:r>
      <w:r>
        <w:t xml:space="preserve"> </w:t>
      </w:r>
      <w:r w:rsidR="00EC7C5C">
        <w:t>(</w:t>
      </w:r>
      <w:r w:rsidR="0067699B">
        <w:t>i</w:t>
      </w:r>
      <w:r w:rsidR="00EC7C5C">
        <w:t xml:space="preserve">) </w:t>
      </w:r>
      <w:r>
        <w:t>specially ordered or commissioned</w:t>
      </w:r>
      <w:r w:rsidR="00EC7C5C">
        <w:t>,</w:t>
      </w:r>
      <w:r>
        <w:t xml:space="preserve"> </w:t>
      </w:r>
      <w:r w:rsidR="00EC7C5C">
        <w:t>(</w:t>
      </w:r>
      <w:r w:rsidR="0067699B">
        <w:t>ii</w:t>
      </w:r>
      <w:r w:rsidR="00EC7C5C">
        <w:t xml:space="preserve">) </w:t>
      </w:r>
      <w:r>
        <w:t>for certain enumerated uses</w:t>
      </w:r>
      <w:r w:rsidR="00EC7C5C">
        <w:t>,</w:t>
      </w:r>
      <w:r>
        <w:t xml:space="preserve"> </w:t>
      </w:r>
      <w:r w:rsidR="00EC7C5C">
        <w:t>and (</w:t>
      </w:r>
      <w:r w:rsidR="0067699B">
        <w:t>iii</w:t>
      </w:r>
      <w:r w:rsidR="00EC7C5C">
        <w:t xml:space="preserve">) </w:t>
      </w:r>
      <w:r>
        <w:t>the parties expressly agree in a written instrument signed by them that the work “shall be considered</w:t>
      </w:r>
      <w:r w:rsidR="00EC7C5C">
        <w:t>”</w:t>
      </w:r>
      <w:r>
        <w:t xml:space="preserve"> a work made for hire. </w:t>
      </w:r>
      <w:r w:rsidR="002579AE">
        <w:rPr>
          <w:snapToGrid/>
          <w:szCs w:val="24"/>
        </w:rPr>
        <w:t>17 U.S.C.</w:t>
      </w:r>
      <w:r w:rsidRPr="00891319">
        <w:rPr>
          <w:snapToGrid/>
          <w:szCs w:val="24"/>
        </w:rPr>
        <w:t xml:space="preserve"> § 101</w:t>
      </w:r>
      <w:r w:rsidR="00EC7C5C">
        <w:rPr>
          <w:snapToGrid/>
          <w:szCs w:val="24"/>
        </w:rPr>
        <w:t>(2)</w:t>
      </w:r>
      <w:r>
        <w:rPr>
          <w:snapToGrid/>
          <w:szCs w:val="24"/>
        </w:rPr>
        <w:t>.</w:t>
      </w:r>
      <w:r w:rsidR="00AC20FE">
        <w:rPr>
          <w:snapToGrid/>
          <w:szCs w:val="24"/>
        </w:rPr>
        <w:t xml:space="preserve"> Here, Plaintiff does not </w:t>
      </w:r>
      <w:r w:rsidR="00AC20FE">
        <w:rPr>
          <w:snapToGrid/>
          <w:szCs w:val="24"/>
        </w:rPr>
        <w:lastRenderedPageBreak/>
        <w:t xml:space="preserve">suggest that Elizabeth Lime is an employee of OGS. </w:t>
      </w:r>
      <w:r w:rsidR="00362CEF">
        <w:rPr>
          <w:snapToGrid/>
          <w:szCs w:val="24"/>
        </w:rPr>
        <w:t>Plaintiff, instead, claims that Lime and OGS expressly agreed in a signed written instrument that the screenplay is a work for hire.</w:t>
      </w:r>
    </w:p>
    <w:p w14:paraId="1608EAEB" w14:textId="77777777" w:rsidR="00EC7C5C" w:rsidRDefault="00362CEF" w:rsidP="00F61CFF">
      <w:pPr>
        <w:spacing w:line="480" w:lineRule="auto"/>
        <w:rPr>
          <w:snapToGrid/>
          <w:szCs w:val="24"/>
        </w:rPr>
      </w:pPr>
      <w:r>
        <w:rPr>
          <w:snapToGrid/>
          <w:szCs w:val="24"/>
        </w:rPr>
        <w:tab/>
      </w:r>
      <w:r w:rsidR="00AC20FE">
        <w:rPr>
          <w:snapToGrid/>
          <w:szCs w:val="24"/>
        </w:rPr>
        <w:t xml:space="preserve">Plaintiff’s claim fails, as a matter of law, for four reasons. First, the </w:t>
      </w:r>
      <w:r>
        <w:rPr>
          <w:snapToGrid/>
          <w:szCs w:val="24"/>
        </w:rPr>
        <w:t>plain language of the statute requires that the written instrument signed by the parties come into existence prior to the work made for hire. Second, the Court of Appeals for the Seventh Circuit has issued a decision directly on point which this court should follow. Third,</w:t>
      </w:r>
      <w:r w:rsidR="00F61CFF">
        <w:rPr>
          <w:snapToGrid/>
          <w:szCs w:val="24"/>
        </w:rPr>
        <w:t xml:space="preserve"> </w:t>
      </w:r>
      <w:r>
        <w:rPr>
          <w:snapToGrid/>
          <w:szCs w:val="24"/>
        </w:rPr>
        <w:t xml:space="preserve">policy considerations support </w:t>
      </w:r>
      <w:r w:rsidR="00F61CFF">
        <w:rPr>
          <w:snapToGrid/>
          <w:szCs w:val="24"/>
        </w:rPr>
        <w:t>interpreting the Copyright Act to require that the agreement be recorded in a signed written instrument before the creation of the work allegedly made for hire. Finally, the leg</w:t>
      </w:r>
      <w:r w:rsidR="00670FC0">
        <w:rPr>
          <w:snapToGrid/>
          <w:szCs w:val="24"/>
        </w:rPr>
        <w:t>islative history requires this C</w:t>
      </w:r>
      <w:r w:rsidR="00F61CFF">
        <w:rPr>
          <w:snapToGrid/>
          <w:szCs w:val="24"/>
        </w:rPr>
        <w:t>ourt to hold that the written instrument must predate the creation of the screenplay. Therefore, Plaintiff has failed to state a claim. Defendants’ motion to dismiss should be granted.</w:t>
      </w:r>
    </w:p>
    <w:p w14:paraId="6F28ECB2" w14:textId="77777777" w:rsidR="00F61CFF" w:rsidRPr="00F61CFF" w:rsidRDefault="00F61CFF" w:rsidP="00F61CFF">
      <w:pPr>
        <w:rPr>
          <w:b/>
          <w:snapToGrid/>
          <w:szCs w:val="24"/>
        </w:rPr>
      </w:pPr>
      <w:r>
        <w:rPr>
          <w:snapToGrid/>
          <w:szCs w:val="24"/>
        </w:rPr>
        <w:tab/>
      </w:r>
      <w:r w:rsidRPr="00F61CFF">
        <w:rPr>
          <w:b/>
          <w:snapToGrid/>
          <w:szCs w:val="24"/>
        </w:rPr>
        <w:t>A.</w:t>
      </w:r>
      <w:r w:rsidRPr="00F61CFF">
        <w:rPr>
          <w:b/>
          <w:snapToGrid/>
          <w:szCs w:val="24"/>
        </w:rPr>
        <w:tab/>
        <w:t xml:space="preserve">The Plain Language of the Statute Requires that the Written Instrument </w:t>
      </w:r>
      <w:r>
        <w:rPr>
          <w:b/>
          <w:snapToGrid/>
          <w:szCs w:val="24"/>
        </w:rPr>
        <w:tab/>
      </w:r>
      <w:r>
        <w:rPr>
          <w:b/>
          <w:snapToGrid/>
          <w:szCs w:val="24"/>
        </w:rPr>
        <w:tab/>
      </w:r>
      <w:r>
        <w:rPr>
          <w:b/>
          <w:snapToGrid/>
          <w:szCs w:val="24"/>
        </w:rPr>
        <w:tab/>
      </w:r>
      <w:r w:rsidRPr="00F61CFF">
        <w:rPr>
          <w:b/>
          <w:snapToGrid/>
          <w:szCs w:val="24"/>
        </w:rPr>
        <w:t>Signed by the Parties Came into Existence Prior to the Work Made For Hire.</w:t>
      </w:r>
    </w:p>
    <w:p w14:paraId="100D52C4" w14:textId="77777777" w:rsidR="00F61CFF" w:rsidRDefault="00F61CFF" w:rsidP="00F61CFF"/>
    <w:p w14:paraId="6A2CE478" w14:textId="77777777" w:rsidR="00FE63AE" w:rsidRPr="00F61CFF" w:rsidRDefault="00F61CFF" w:rsidP="00432471">
      <w:pPr>
        <w:spacing w:line="480" w:lineRule="auto"/>
        <w:rPr>
          <w:snapToGrid/>
          <w:szCs w:val="24"/>
        </w:rPr>
      </w:pPr>
      <w:r>
        <w:tab/>
        <w:t xml:space="preserve">The Copyright Act unambiguously requires that the written instrument predate the creation of the work made for hire, and </w:t>
      </w:r>
      <w:r w:rsidR="007674AF">
        <w:t xml:space="preserve">since </w:t>
      </w:r>
      <w:r>
        <w:t xml:space="preserve">“Anticipatory Repudiation” </w:t>
      </w:r>
      <w:r w:rsidR="00670FC0">
        <w:t>was</w:t>
      </w:r>
      <w:r w:rsidR="007674AF">
        <w:t xml:space="preserve"> created before a </w:t>
      </w:r>
      <w:r w:rsidR="00670FC0">
        <w:t>signed writing existed</w:t>
      </w:r>
      <w:r w:rsidR="007674AF">
        <w:t>, it cannot be</w:t>
      </w:r>
      <w:r>
        <w:t xml:space="preserve"> a work made for hire. </w:t>
      </w:r>
      <w:r w:rsidR="009D778F">
        <w:t xml:space="preserve">The statute states that </w:t>
      </w:r>
      <w:r w:rsidR="009D778F" w:rsidRPr="009D778F">
        <w:t xml:space="preserve">a </w:t>
      </w:r>
      <w:r w:rsidR="009D778F">
        <w:t xml:space="preserve">work made for hire is (i) a work </w:t>
      </w:r>
      <w:r w:rsidR="009D778F" w:rsidRPr="009D778F">
        <w:t>specially ordered or commission</w:t>
      </w:r>
      <w:r w:rsidR="009D778F">
        <w:t xml:space="preserve">ed, (ii) </w:t>
      </w:r>
      <w:r w:rsidR="009D778F" w:rsidRPr="009D778F">
        <w:t>for use as a con</w:t>
      </w:r>
      <w:r w:rsidR="00670FC0">
        <w:t xml:space="preserve">tribution to a collective work or </w:t>
      </w:r>
      <w:r w:rsidR="009D778F" w:rsidRPr="009D778F">
        <w:t xml:space="preserve">as a part of a motion picture or other audiovisual work, </w:t>
      </w:r>
      <w:r w:rsidR="009D778F">
        <w:t>(iii)</w:t>
      </w:r>
      <w:r w:rsidR="009D778F" w:rsidRPr="009D778F">
        <w:t xml:space="preserve"> if the parties expressly agree in a written instrument signed by them that the work shall be considered a work made for hire.</w:t>
      </w:r>
      <w:r>
        <w:t xml:space="preserve"> 17 U.S.C. § 101(2). </w:t>
      </w:r>
      <w:r w:rsidR="009D778F">
        <w:t>Lime and TinyTV concede that the first two elements of this definition are met in this case. But the word “shall” plainly implies a basic assumption of the statute — that the written instrument predates the work made for hire.</w:t>
      </w:r>
    </w:p>
    <w:p w14:paraId="5745C36F" w14:textId="77777777" w:rsidR="002212EB" w:rsidRDefault="009D778F" w:rsidP="00D94E4A">
      <w:pPr>
        <w:spacing w:line="480" w:lineRule="auto"/>
      </w:pPr>
      <w:r>
        <w:tab/>
        <w:t>If the drafters of the statute did not mean to imply that the contract must predate the work made for hire,</w:t>
      </w:r>
      <w:r w:rsidR="00F772AE">
        <w:t xml:space="preserve"> the</w:t>
      </w:r>
      <w:r w:rsidR="00670FC0">
        <w:t>n the</w:t>
      </w:r>
      <w:r w:rsidR="00F772AE">
        <w:t xml:space="preserve"> </w:t>
      </w:r>
      <w:r w:rsidR="002212EB">
        <w:t>selection</w:t>
      </w:r>
      <w:r w:rsidR="00F772AE">
        <w:t xml:space="preserve"> of a future-tense verb </w:t>
      </w:r>
      <w:r w:rsidR="00670FC0">
        <w:t>was</w:t>
      </w:r>
      <w:r w:rsidR="00F772AE">
        <w:t xml:space="preserve"> an odd choice. I</w:t>
      </w:r>
      <w:r w:rsidR="00785C80">
        <w:t>f the signed writing creating a</w:t>
      </w:r>
      <w:r w:rsidR="00F772AE">
        <w:t xml:space="preserve"> work made for hire</w:t>
      </w:r>
      <w:r w:rsidR="00785C80">
        <w:t xml:space="preserve"> could be executed even after the creation of the work</w:t>
      </w:r>
      <w:r w:rsidR="002212EB">
        <w:t xml:space="preserve">, it is </w:t>
      </w:r>
      <w:r w:rsidR="00F772AE">
        <w:t xml:space="preserve">a </w:t>
      </w:r>
      <w:r w:rsidR="00F772AE">
        <w:lastRenderedPageBreak/>
        <w:t xml:space="preserve">mystery </w:t>
      </w:r>
      <w:r w:rsidR="00785C80">
        <w:t>why the drafters would not have opted for “shall be considered” over the obvious alternative: the unambiguously simple “is.”</w:t>
      </w:r>
      <w:r w:rsidR="00670FC0">
        <w:t xml:space="preserve"> The natural inference, of course, is that the statute requires a signed writing to predate any work made for hire.</w:t>
      </w:r>
    </w:p>
    <w:p w14:paraId="2A674C1F" w14:textId="77777777" w:rsidR="002212EB" w:rsidRDefault="002212EB" w:rsidP="00D94E4A">
      <w:pPr>
        <w:spacing w:line="480" w:lineRule="auto"/>
      </w:pPr>
      <w:r>
        <w:tab/>
        <w:t xml:space="preserve">Although Lime and OGS had an oral understanding prior to the creation of the work that it would be considered a work made for hire, there is no absurdity in refusing to give effect to the parties’ subsequent written agreement. As case law from other jurisdictions and policy analysis will demonstrate, the </w:t>
      </w:r>
      <w:r w:rsidR="00670FC0">
        <w:t>C</w:t>
      </w:r>
      <w:r>
        <w:t xml:space="preserve">ourt would be well served to strictly apply the plain language of the Copyright Act to </w:t>
      </w:r>
      <w:r w:rsidR="00670FC0">
        <w:t xml:space="preserve">the facts of this case. Doing so </w:t>
      </w:r>
      <w:r>
        <w:t>honor</w:t>
      </w:r>
      <w:r w:rsidR="00670FC0">
        <w:t>s</w:t>
      </w:r>
      <w:r>
        <w:t xml:space="preserve"> the delicate balance between competing priorities that Congress struck in </w:t>
      </w:r>
      <w:r w:rsidR="00670FC0">
        <w:t xml:space="preserve">demanding a signed writing be executed before vesting authorship in </w:t>
      </w:r>
      <w:r w:rsidR="00640E88">
        <w:t>entity other than the c</w:t>
      </w:r>
      <w:r>
        <w:t>reator of a work.</w:t>
      </w:r>
    </w:p>
    <w:p w14:paraId="57E01016" w14:textId="77777777" w:rsidR="00D94E4A" w:rsidRDefault="00D94E4A" w:rsidP="00D94E4A">
      <w:pPr>
        <w:rPr>
          <w:b/>
        </w:rPr>
      </w:pPr>
      <w:r w:rsidRPr="00D94E4A">
        <w:rPr>
          <w:b/>
        </w:rPr>
        <w:tab/>
        <w:t>B</w:t>
      </w:r>
      <w:r w:rsidR="004642AE" w:rsidRPr="00D94E4A">
        <w:rPr>
          <w:b/>
        </w:rPr>
        <w:t>.</w:t>
      </w:r>
      <w:r w:rsidR="004642AE" w:rsidRPr="00D94E4A">
        <w:rPr>
          <w:b/>
        </w:rPr>
        <w:tab/>
      </w:r>
      <w:r>
        <w:rPr>
          <w:b/>
        </w:rPr>
        <w:t xml:space="preserve">The Court Should Adopt the Reasoning of the Seventh Circuit Court of </w:t>
      </w:r>
      <w:r>
        <w:rPr>
          <w:b/>
        </w:rPr>
        <w:tab/>
      </w:r>
      <w:r>
        <w:rPr>
          <w:b/>
        </w:rPr>
        <w:tab/>
      </w:r>
      <w:r>
        <w:rPr>
          <w:b/>
        </w:rPr>
        <w:tab/>
        <w:t xml:space="preserve">Appeals, Which Interprets the Copyright Act to Require a Written Contract </w:t>
      </w:r>
      <w:r>
        <w:rPr>
          <w:b/>
        </w:rPr>
        <w:tab/>
      </w:r>
      <w:r>
        <w:rPr>
          <w:b/>
        </w:rPr>
        <w:tab/>
      </w:r>
      <w:r>
        <w:rPr>
          <w:b/>
        </w:rPr>
        <w:tab/>
        <w:t>to Confirm the Existence of an Agreement Made Prior to the Work.</w:t>
      </w:r>
    </w:p>
    <w:p w14:paraId="49D5F921" w14:textId="77777777" w:rsidR="00D94E4A" w:rsidRDefault="00D94E4A" w:rsidP="00D94E4A"/>
    <w:p w14:paraId="30C3385D" w14:textId="77777777" w:rsidR="00DF51E9" w:rsidRDefault="00D94E4A" w:rsidP="004642AE">
      <w:pPr>
        <w:spacing w:line="480" w:lineRule="auto"/>
      </w:pPr>
      <w:r>
        <w:tab/>
      </w:r>
      <w:r w:rsidR="00791963">
        <w:t>There is no binding precedent directly on point in the District of Moot,</w:t>
      </w:r>
      <w:r>
        <w:t xml:space="preserve"> but this Court should adopt the reasoning of the Seventh Circuit Court of Appeals.</w:t>
      </w:r>
      <w:r w:rsidR="00DF51E9">
        <w:t xml:space="preserve"> In </w:t>
      </w:r>
      <w:r w:rsidR="00DF51E9" w:rsidRPr="00DF51E9">
        <w:rPr>
          <w:i/>
        </w:rPr>
        <w:t>Schiller &amp; Schmidt, Inc. v. Nordisco Corp.,</w:t>
      </w:r>
      <w:r w:rsidR="00DF51E9">
        <w:t xml:space="preserve"> 969 F.2d 4</w:t>
      </w:r>
      <w:r w:rsidR="003C2E35">
        <w:t>10, 412</w:t>
      </w:r>
      <w:r w:rsidR="00DF51E9">
        <w:t xml:space="preserve"> (7th Cir. 1992), the court considered whether photographs taken by </w:t>
      </w:r>
      <w:r w:rsidR="003C2E35">
        <w:t xml:space="preserve">a photographer for use by Schiller and Schmidt in their office supplies catalogs were works made for hire. The court found that the photographs were </w:t>
      </w:r>
      <w:r w:rsidR="003C2E35" w:rsidRPr="003C2E35">
        <w:rPr>
          <w:i/>
        </w:rPr>
        <w:t>not</w:t>
      </w:r>
      <w:r w:rsidR="003C2E35">
        <w:t xml:space="preserve"> works made for hire, despite the existence of a signed written agreement in which the photographer stated that Schiller and Schmidt “has owned” the copyright in his photos and assigned “any right to maintain actions, now or hereafter existing, for alleged infringement thereof” to Schiller and Schmidt. </w:t>
      </w:r>
      <w:r w:rsidR="003C2E35" w:rsidRPr="003C2E35">
        <w:rPr>
          <w:i/>
        </w:rPr>
        <w:t>Id</w:t>
      </w:r>
      <w:r w:rsidR="003C2E35">
        <w:t xml:space="preserve">. The court explicitly found that this statement “came too late.” </w:t>
      </w:r>
      <w:r w:rsidR="003C2E35" w:rsidRPr="004D0ED6">
        <w:rPr>
          <w:i/>
        </w:rPr>
        <w:t>Id</w:t>
      </w:r>
      <w:r w:rsidR="003C2E35">
        <w:t xml:space="preserve">. </w:t>
      </w:r>
      <w:r w:rsidR="004D0ED6">
        <w:t xml:space="preserve">Emphasizing that the work-for-hire requirement is not merely a Statute of Frauds, the court held </w:t>
      </w:r>
      <w:r w:rsidR="00DF51E9">
        <w:t xml:space="preserve">that the writing “must precede the creation of the property,” reasoning that such a chronology was necessary to “serve its purpose </w:t>
      </w:r>
      <w:r w:rsidR="00DF51E9">
        <w:lastRenderedPageBreak/>
        <w:t xml:space="preserve">of identifying the (noncreator) owner unequivocally.” </w:t>
      </w:r>
      <w:r w:rsidR="004D0ED6" w:rsidRPr="004D0ED6">
        <w:rPr>
          <w:i/>
        </w:rPr>
        <w:t>Id.</w:t>
      </w:r>
      <w:r w:rsidR="004D0ED6">
        <w:t xml:space="preserve"> at 413. </w:t>
      </w:r>
      <w:r w:rsidR="004D0ED6" w:rsidRPr="004D0ED6">
        <w:rPr>
          <w:i/>
        </w:rPr>
        <w:t>See also</w:t>
      </w:r>
      <w:r w:rsidR="00482DE7">
        <w:rPr>
          <w:i/>
        </w:rPr>
        <w:t xml:space="preserve"> </w:t>
      </w:r>
      <w:r w:rsidR="00A62271" w:rsidRPr="00A62271">
        <w:rPr>
          <w:i/>
        </w:rPr>
        <w:t>Bangkok Broad. &amp; T.V. Co., Ltd. v. IPTV Corp.,</w:t>
      </w:r>
      <w:r w:rsidR="00A62271" w:rsidRPr="00A62271">
        <w:t xml:space="preserve"> 742 F. Supp. 2d 1101, 1111 (C.D. Cal. 2010); </w:t>
      </w:r>
      <w:r w:rsidR="00482DE7" w:rsidRPr="00482DE7">
        <w:rPr>
          <w:i/>
        </w:rPr>
        <w:t>Gladwell Gov't Services, Inc. v. County of Marin,</w:t>
      </w:r>
      <w:r w:rsidR="00482DE7">
        <w:t xml:space="preserve"> 265 F. App'x 624, 626 (9th Cir. 2008)</w:t>
      </w:r>
      <w:r w:rsidR="004D0ED6">
        <w:t xml:space="preserve"> </w:t>
      </w:r>
      <w:r w:rsidR="00482DE7">
        <w:t>(</w:t>
      </w:r>
      <w:r w:rsidR="000347D6">
        <w:t>holding that “[t]</w:t>
      </w:r>
      <w:r w:rsidR="00482DE7">
        <w:t xml:space="preserve">he plain language of the statute indicates that a work-for-hire agreement cannot apply to works that are already in existence”); </w:t>
      </w:r>
      <w:r w:rsidR="00482DE7" w:rsidRPr="00482DE7">
        <w:rPr>
          <w:i/>
        </w:rPr>
        <w:t>Monroig v. RMM Records &amp; Video Corp.,</w:t>
      </w:r>
      <w:r w:rsidR="00482DE7">
        <w:t xml:space="preserve"> 194 F.R.D. 388, 390 (D.P.R. 2000); </w:t>
      </w:r>
      <w:r w:rsidR="004D0ED6" w:rsidRPr="004D0ED6">
        <w:rPr>
          <w:i/>
        </w:rPr>
        <w:t>Glovaroma, Inc. v. Maljack Productions, Inc.,</w:t>
      </w:r>
      <w:r w:rsidR="004D0ED6">
        <w:t xml:space="preserve"> 71 F. Supp. 2d 846, 852 (N.D. Ill. 1999); </w:t>
      </w:r>
      <w:r w:rsidR="00482DE7" w:rsidRPr="00482DE7">
        <w:rPr>
          <w:i/>
        </w:rPr>
        <w:t>Armento v. Laser Image, Inc.,</w:t>
      </w:r>
      <w:r w:rsidR="00482DE7">
        <w:t xml:space="preserve"> 950 F. Supp. 719, 729 (W.D.N.C. 1996) aff'd, 134 F.3d 362 (4th Cir. 1998); </w:t>
      </w:r>
      <w:r w:rsidR="00482DE7" w:rsidRPr="00482DE7">
        <w:rPr>
          <w:i/>
        </w:rPr>
        <w:t>Konigsberg Int'l Inc. v. Rice,</w:t>
      </w:r>
      <w:r w:rsidR="00482DE7">
        <w:t xml:space="preserve"> 16 F.3d 355, 357 (9th Cir. 1994); </w:t>
      </w:r>
      <w:r w:rsidR="004D0ED6" w:rsidRPr="004D0ED6">
        <w:rPr>
          <w:i/>
        </w:rPr>
        <w:t>Rubloff Inc. v. Donahue,</w:t>
      </w:r>
      <w:r w:rsidR="004D0ED6">
        <w:t xml:space="preserve"> 93 C 0457, 1994 WL 161098 (N.D. Ill. 1994)</w:t>
      </w:r>
      <w:r w:rsidR="00A62271">
        <w:t>.</w:t>
      </w:r>
    </w:p>
    <w:p w14:paraId="4C56054D" w14:textId="77777777" w:rsidR="00A62271" w:rsidRDefault="00A62271" w:rsidP="004642AE">
      <w:pPr>
        <w:spacing w:line="480" w:lineRule="auto"/>
      </w:pPr>
      <w:r>
        <w:tab/>
        <w:t xml:space="preserve">In this case, </w:t>
      </w:r>
      <w:r w:rsidR="00A20D7A">
        <w:t>Plaintiff concedes that the signed written agreement did not precede the creation of the screenplay. Indeed, the signed written agr</w:t>
      </w:r>
      <w:r w:rsidR="00F1161D">
        <w:t>eement did not even precede registration of the screenplay with the U.S. Copyright Office</w:t>
      </w:r>
      <w:r w:rsidR="00A20D7A">
        <w:t>.</w:t>
      </w:r>
      <w:r w:rsidR="000347D6">
        <w:t xml:space="preserve"> If the C</w:t>
      </w:r>
      <w:r w:rsidR="00A20D7A">
        <w:t xml:space="preserve">ourt joins other jurisdictions in following </w:t>
      </w:r>
      <w:r w:rsidR="00A20D7A" w:rsidRPr="00A20D7A">
        <w:rPr>
          <w:i/>
        </w:rPr>
        <w:t>Schiller</w:t>
      </w:r>
      <w:r w:rsidR="00A20D7A">
        <w:t xml:space="preserve">, then the outcome is clear: </w:t>
      </w:r>
      <w:r w:rsidR="00BB3765">
        <w:t>the screenplay cannot be a work made for hire because it had already been written, completed and registered with the U.S. Copyright Office before any signed writing evidencing an agreement had been consummated by the parties.</w:t>
      </w:r>
    </w:p>
    <w:p w14:paraId="1B1639AF" w14:textId="77777777" w:rsidR="00BB3765" w:rsidRDefault="00BB3765" w:rsidP="00961763">
      <w:pPr>
        <w:spacing w:line="480" w:lineRule="auto"/>
      </w:pPr>
      <w:r>
        <w:tab/>
      </w:r>
      <w:r w:rsidR="000347D6">
        <w:t>Of course, the C</w:t>
      </w:r>
      <w:r w:rsidR="00F1161D">
        <w:t xml:space="preserve">ourt is not strictly obligated to follow </w:t>
      </w:r>
      <w:r w:rsidR="00F1161D" w:rsidRPr="00F1161D">
        <w:rPr>
          <w:i/>
        </w:rPr>
        <w:t>Schiller</w:t>
      </w:r>
      <w:r w:rsidR="00F1161D">
        <w:t xml:space="preserve">. </w:t>
      </w:r>
      <w:r>
        <w:t xml:space="preserve">In </w:t>
      </w:r>
      <w:r w:rsidRPr="000A4A94">
        <w:rPr>
          <w:i/>
        </w:rPr>
        <w:t>Playboy Enterprises, Inc. v. Dumas,</w:t>
      </w:r>
      <w:r>
        <w:t xml:space="preserve"> 53 F.3d 549, 55</w:t>
      </w:r>
      <w:r w:rsidR="002B4980">
        <w:t>8-5</w:t>
      </w:r>
      <w:r w:rsidR="00961763">
        <w:t xml:space="preserve">9 (2nd. </w:t>
      </w:r>
      <w:r>
        <w:t xml:space="preserve">Cir. 1995), </w:t>
      </w:r>
      <w:r w:rsidR="00961763">
        <w:t xml:space="preserve">for example, </w:t>
      </w:r>
      <w:r>
        <w:t xml:space="preserve">the Court of Appeals for the Second Circuit declined to follow </w:t>
      </w:r>
      <w:r w:rsidR="002B4980">
        <w:rPr>
          <w:i/>
        </w:rPr>
        <w:t>Schiller</w:t>
      </w:r>
      <w:r>
        <w:t xml:space="preserve">, holding </w:t>
      </w:r>
      <w:r w:rsidR="002B4980">
        <w:t xml:space="preserve">instead </w:t>
      </w:r>
      <w:r>
        <w:t>that</w:t>
      </w:r>
      <w:r w:rsidR="002B4980">
        <w:t xml:space="preserve"> </w:t>
      </w:r>
      <w:r>
        <w:t xml:space="preserve">the Copyright Act does </w:t>
      </w:r>
      <w:r w:rsidRPr="00961763">
        <w:t>not</w:t>
      </w:r>
      <w:r w:rsidR="002B4980">
        <w:t xml:space="preserve"> require the signed </w:t>
      </w:r>
      <w:r>
        <w:t xml:space="preserve">writing to predate </w:t>
      </w:r>
      <w:r w:rsidR="002B4980">
        <w:t>creati</w:t>
      </w:r>
      <w:r w:rsidR="000347D6">
        <w:t>on of the work. However, this Co</w:t>
      </w:r>
      <w:r w:rsidR="002B4980">
        <w:t xml:space="preserve">urt should not follow </w:t>
      </w:r>
      <w:r w:rsidR="002B4980" w:rsidRPr="002B4980">
        <w:rPr>
          <w:i/>
        </w:rPr>
        <w:t>Playboy</w:t>
      </w:r>
      <w:r w:rsidR="002B4980">
        <w:t xml:space="preserve"> because </w:t>
      </w:r>
      <w:r w:rsidR="00961763">
        <w:t xml:space="preserve">the </w:t>
      </w:r>
      <w:r w:rsidR="00961763" w:rsidRPr="00961763">
        <w:rPr>
          <w:i/>
        </w:rPr>
        <w:t>Playboy</w:t>
      </w:r>
      <w:r w:rsidR="00FB49E5">
        <w:t xml:space="preserve"> court’s reasoning is unsound</w:t>
      </w:r>
      <w:r w:rsidR="002B4980">
        <w:t xml:space="preserve">. The </w:t>
      </w:r>
      <w:r w:rsidR="00961763">
        <w:t xml:space="preserve">Second Circuit begins its analysis by citing </w:t>
      </w:r>
      <w:r w:rsidR="00961763" w:rsidRPr="00961763">
        <w:rPr>
          <w:i/>
        </w:rPr>
        <w:t>Schiller</w:t>
      </w:r>
      <w:r w:rsidR="00961763">
        <w:t xml:space="preserve"> with approval, agreeing that the writing requirement was “created, in part, to make the ownership of intellectual property rights clear and definite” and noting that “predictability” in this area of law was an important goal of Congress in enacting the Copyright </w:t>
      </w:r>
      <w:r w:rsidR="00961763">
        <w:lastRenderedPageBreak/>
        <w:t xml:space="preserve">Act. </w:t>
      </w:r>
      <w:r w:rsidR="00961763" w:rsidRPr="00961763">
        <w:rPr>
          <w:i/>
        </w:rPr>
        <w:t>Id.</w:t>
      </w:r>
      <w:r w:rsidR="00FB49E5">
        <w:t xml:space="preserve"> at 559. The court </w:t>
      </w:r>
      <w:r w:rsidR="00961763">
        <w:t>acknowledged the extreme unlikel</w:t>
      </w:r>
      <w:r w:rsidR="00FB49E5">
        <w:t>ihood that Congress intended the absurd scenario of</w:t>
      </w:r>
      <w:r w:rsidR="00961763">
        <w:t xml:space="preserve"> </w:t>
      </w:r>
      <w:r w:rsidR="00FB49E5">
        <w:t>a work having</w:t>
      </w:r>
      <w:r w:rsidR="00961763">
        <w:t xml:space="preserve"> two separate authors — “one during the first phase of its existence, and another after a work-for-hire agreement were executed.” </w:t>
      </w:r>
      <w:r w:rsidR="00961763" w:rsidRPr="00961763">
        <w:rPr>
          <w:i/>
        </w:rPr>
        <w:t>Id</w:t>
      </w:r>
      <w:r w:rsidR="00FB49E5">
        <w:t xml:space="preserve">. </w:t>
      </w:r>
      <w:r w:rsidR="00817B4D">
        <w:t>T</w:t>
      </w:r>
      <w:r w:rsidR="00FB49E5">
        <w:t xml:space="preserve">hen, in a curious bit of reasoning, </w:t>
      </w:r>
      <w:r w:rsidR="00817B4D">
        <w:t xml:space="preserve">the court </w:t>
      </w:r>
      <w:r w:rsidR="00FB49E5">
        <w:t xml:space="preserve">suggested that requiring a written agreement be signed before the creation of a work would frustrate rather than promote the avoidance of such an absurdity. </w:t>
      </w:r>
      <w:r w:rsidR="00FB49E5" w:rsidRPr="00FB49E5">
        <w:rPr>
          <w:i/>
        </w:rPr>
        <w:t>Id.</w:t>
      </w:r>
      <w:r w:rsidR="00FB49E5">
        <w:t xml:space="preserve"> There is little reason to think this is true.</w:t>
      </w:r>
    </w:p>
    <w:p w14:paraId="3EAFB8D4" w14:textId="77777777" w:rsidR="000347D6" w:rsidRDefault="00FB49E5" w:rsidP="00961763">
      <w:pPr>
        <w:spacing w:line="480" w:lineRule="auto"/>
      </w:pPr>
      <w:r>
        <w:tab/>
      </w:r>
      <w:r w:rsidR="000347D6">
        <w:t>In coming to this wayward c</w:t>
      </w:r>
      <w:r w:rsidR="00817B4D">
        <w:t>onclusion, t</w:t>
      </w:r>
      <w:r>
        <w:t xml:space="preserve">he </w:t>
      </w:r>
      <w:r w:rsidRPr="00FB49E5">
        <w:rPr>
          <w:i/>
        </w:rPr>
        <w:t>Playboy</w:t>
      </w:r>
      <w:r w:rsidR="00817B4D">
        <w:t xml:space="preserve"> court relies on a </w:t>
      </w:r>
      <w:r w:rsidR="00C86C9F">
        <w:t xml:space="preserve">copyrights </w:t>
      </w:r>
      <w:r w:rsidR="00817B4D">
        <w:t xml:space="preserve">treatise </w:t>
      </w:r>
      <w:r w:rsidR="00C86C9F">
        <w:t xml:space="preserve">warning </w:t>
      </w:r>
      <w:r w:rsidR="00817B4D">
        <w:t>of hypothetical scenar</w:t>
      </w:r>
      <w:r w:rsidR="00C86C9F">
        <w:t xml:space="preserve">ios in which parties knew of </w:t>
      </w:r>
      <w:r w:rsidR="00817B4D">
        <w:t>“</w:t>
      </w:r>
      <w:r w:rsidR="00C86C9F">
        <w:t xml:space="preserve">the </w:t>
      </w:r>
      <w:r w:rsidR="00817B4D">
        <w:t xml:space="preserve">unanimous intent among all concerned that the work for hire doctrine would apply, notwithstanding that some of the paperwork remained not fully executed until after creation of the subject work.” </w:t>
      </w:r>
      <w:r w:rsidR="00817B4D" w:rsidRPr="00817B4D">
        <w:rPr>
          <w:i/>
        </w:rPr>
        <w:t xml:space="preserve">Id. </w:t>
      </w:r>
      <w:r w:rsidR="00817B4D" w:rsidRPr="00817B4D">
        <w:t>(quoting 1</w:t>
      </w:r>
      <w:r w:rsidR="00817B4D" w:rsidRPr="00817B4D">
        <w:rPr>
          <w:i/>
        </w:rPr>
        <w:t xml:space="preserve"> Nimmer </w:t>
      </w:r>
      <w:r w:rsidR="00817B4D" w:rsidRPr="00817B4D">
        <w:t>§ 5.03[B][2][b] (1994)).</w:t>
      </w:r>
      <w:r w:rsidR="00817B4D">
        <w:t xml:space="preserve"> The idea is that</w:t>
      </w:r>
      <w:r w:rsidR="00C86C9F">
        <w:t>,</w:t>
      </w:r>
      <w:r w:rsidR="00817B4D">
        <w:t xml:space="preserve"> in such circumstances</w:t>
      </w:r>
      <w:r w:rsidR="00C86C9F">
        <w:t>,</w:t>
      </w:r>
      <w:r w:rsidR="00817B4D">
        <w:t xml:space="preserve"> “the bright line rule could frustrate the intent of the parties, and cloud rather than serve the goal of certainty.” </w:t>
      </w:r>
      <w:r w:rsidR="00817B4D" w:rsidRPr="00817B4D">
        <w:rPr>
          <w:i/>
        </w:rPr>
        <w:t>Id</w:t>
      </w:r>
      <w:r w:rsidR="00817B4D">
        <w:t xml:space="preserve">. </w:t>
      </w:r>
      <w:r w:rsidR="00C86C9F">
        <w:t xml:space="preserve">This analysis is deeply misguided. Anytime parties reach agreements but have not “fully executed” the requisite paperwork, uncertainty is an inevitably that no </w:t>
      </w:r>
      <w:r w:rsidR="000347D6">
        <w:t xml:space="preserve">string of court decisions can preclude — as long as that paperwork is, as here, truly required under the law. </w:t>
      </w:r>
      <w:r w:rsidR="00C86C9F">
        <w:t>Any attempts to lift the uncertainty by abdicating a bright-line rule onl</w:t>
      </w:r>
      <w:r w:rsidR="000347D6">
        <w:t xml:space="preserve">y </w:t>
      </w:r>
      <w:r w:rsidR="000347D6" w:rsidRPr="000347D6">
        <w:rPr>
          <w:i/>
        </w:rPr>
        <w:t>add</w:t>
      </w:r>
      <w:r w:rsidR="000347D6">
        <w:t xml:space="preserve"> to the uncertainty</w:t>
      </w:r>
      <w:r w:rsidR="00C86C9F">
        <w:t>, all while making a mockery of the signif</w:t>
      </w:r>
      <w:r w:rsidR="000347D6">
        <w:t>icance of a finalized contract.</w:t>
      </w:r>
    </w:p>
    <w:p w14:paraId="76527714" w14:textId="77777777" w:rsidR="00FB49E5" w:rsidRDefault="000347D6" w:rsidP="00961763">
      <w:pPr>
        <w:spacing w:line="480" w:lineRule="auto"/>
      </w:pPr>
      <w:r>
        <w:tab/>
      </w:r>
      <w:r w:rsidR="00C86C9F">
        <w:t xml:space="preserve">The facts of this case plainly track the Nimmer hypothetical. The </w:t>
      </w:r>
      <w:r w:rsidR="00C86C9F" w:rsidRPr="00C86C9F">
        <w:rPr>
          <w:i/>
        </w:rPr>
        <w:t>Playboy</w:t>
      </w:r>
      <w:r w:rsidR="00C86C9F">
        <w:t xml:space="preserve"> approach would</w:t>
      </w:r>
      <w:r w:rsidR="008225AC">
        <w:t xml:space="preserve"> encourage parties to </w:t>
      </w:r>
      <w:r>
        <w:t>feel a sort of certainty</w:t>
      </w:r>
      <w:r w:rsidR="008225AC">
        <w:t xml:space="preserve"> that a work i</w:t>
      </w:r>
      <w:r w:rsidR="00C86C9F">
        <w:t xml:space="preserve">s a work-made-for-hire even in the absence of a signed written agreement, so long as </w:t>
      </w:r>
      <w:r w:rsidR="008225AC">
        <w:t>they are clear on each other’s intent. But until the signed written agreement actually exists, either party is</w:t>
      </w:r>
      <w:r>
        <w:t xml:space="preserve"> still</w:t>
      </w:r>
      <w:r w:rsidR="008225AC">
        <w:t xml:space="preserve"> presumably free to change its mind. </w:t>
      </w:r>
      <w:r>
        <w:t>It</w:t>
      </w:r>
      <w:r w:rsidR="008225AC">
        <w:t xml:space="preserve"> is not hard to imagine a scenario in which one party (</w:t>
      </w:r>
      <w:r>
        <w:t xml:space="preserve">probably </w:t>
      </w:r>
      <w:r w:rsidR="008225AC">
        <w:t xml:space="preserve">the </w:t>
      </w:r>
      <w:r>
        <w:t>creating party) might have</w:t>
      </w:r>
      <w:r w:rsidR="008225AC">
        <w:t xml:space="preserve"> incentive to do so. Thus, any certainty that is served by following the </w:t>
      </w:r>
      <w:r w:rsidR="008225AC" w:rsidRPr="008225AC">
        <w:rPr>
          <w:i/>
        </w:rPr>
        <w:t>Playboy</w:t>
      </w:r>
      <w:r w:rsidR="008225AC">
        <w:t xml:space="preserve"> </w:t>
      </w:r>
      <w:r w:rsidR="008225AC">
        <w:lastRenderedPageBreak/>
        <w:t>approach is merely illusory.</w:t>
      </w:r>
    </w:p>
    <w:p w14:paraId="54AF20D7" w14:textId="77777777" w:rsidR="004642AE" w:rsidRDefault="008528E3" w:rsidP="004642AE">
      <w:pPr>
        <w:rPr>
          <w:b/>
        </w:rPr>
      </w:pPr>
      <w:r>
        <w:rPr>
          <w:b/>
        </w:rPr>
        <w:tab/>
        <w:t>C</w:t>
      </w:r>
      <w:r w:rsidR="004642AE" w:rsidRPr="004642AE">
        <w:rPr>
          <w:b/>
        </w:rPr>
        <w:t>.</w:t>
      </w:r>
      <w:r w:rsidR="004642AE" w:rsidRPr="004642AE">
        <w:rPr>
          <w:b/>
        </w:rPr>
        <w:tab/>
      </w:r>
      <w:r>
        <w:rPr>
          <w:b/>
        </w:rPr>
        <w:t xml:space="preserve">Policy Considerations Strongly Support Interpreting the Statute to </w:t>
      </w:r>
      <w:r>
        <w:rPr>
          <w:b/>
        </w:rPr>
        <w:tab/>
      </w:r>
      <w:r>
        <w:rPr>
          <w:b/>
        </w:rPr>
        <w:tab/>
      </w:r>
      <w:r>
        <w:rPr>
          <w:b/>
        </w:rPr>
        <w:tab/>
      </w:r>
      <w:r>
        <w:rPr>
          <w:b/>
        </w:rPr>
        <w:tab/>
        <w:t xml:space="preserve">Require a Signed Written Agreement Prior to the Creation of a Work </w:t>
      </w:r>
      <w:r>
        <w:rPr>
          <w:b/>
        </w:rPr>
        <w:tab/>
      </w:r>
      <w:r>
        <w:rPr>
          <w:b/>
        </w:rPr>
        <w:tab/>
      </w:r>
      <w:r>
        <w:rPr>
          <w:b/>
        </w:rPr>
        <w:tab/>
      </w:r>
      <w:r>
        <w:rPr>
          <w:b/>
        </w:rPr>
        <w:tab/>
        <w:t>Made For H</w:t>
      </w:r>
      <w:r w:rsidR="004642AE">
        <w:rPr>
          <w:b/>
        </w:rPr>
        <w:t>ire.</w:t>
      </w:r>
    </w:p>
    <w:p w14:paraId="5D8BCB92" w14:textId="77777777" w:rsidR="004642AE" w:rsidRPr="004642AE" w:rsidRDefault="004642AE" w:rsidP="004642AE">
      <w:pPr>
        <w:rPr>
          <w:b/>
        </w:rPr>
      </w:pPr>
    </w:p>
    <w:p w14:paraId="570D765B" w14:textId="77777777" w:rsidR="00464198" w:rsidRDefault="004642AE" w:rsidP="00F2052D">
      <w:pPr>
        <w:spacing w:line="480" w:lineRule="auto"/>
      </w:pPr>
      <w:r>
        <w:tab/>
      </w:r>
      <w:r w:rsidR="00D51924">
        <w:t>There are strong reasons to err in favor of vesting aut</w:t>
      </w:r>
      <w:r w:rsidR="008528E3">
        <w:t>horship of a work in the actual creator of</w:t>
      </w:r>
      <w:r w:rsidR="00D51924">
        <w:t xml:space="preserve"> a work</w:t>
      </w:r>
      <w:r w:rsidR="008528E3">
        <w:t xml:space="preserve">, like Elizabeth Lime. </w:t>
      </w:r>
      <w:r w:rsidR="004C7B9D">
        <w:t>One important policy consideration — that a bright-line rule pr</w:t>
      </w:r>
      <w:r w:rsidR="00464198">
        <w:t xml:space="preserve">omotes certainty </w:t>
      </w:r>
      <w:r w:rsidR="004C7B9D">
        <w:t xml:space="preserve">— was discussed above in the discussion of why this Court should not follow </w:t>
      </w:r>
      <w:r w:rsidR="004C7B9D" w:rsidRPr="004C7B9D">
        <w:rPr>
          <w:i/>
        </w:rPr>
        <w:t>Playboy</w:t>
      </w:r>
      <w:r w:rsidR="004C7B9D">
        <w:t>. A second important consideration is that</w:t>
      </w:r>
      <w:r w:rsidR="00D51924">
        <w:t xml:space="preserve"> the Copyright Act provides </w:t>
      </w:r>
      <w:r w:rsidR="004C7B9D">
        <w:t xml:space="preserve">a means </w:t>
      </w:r>
      <w:r w:rsidR="00D51924">
        <w:t xml:space="preserve">for transfer of copyright </w:t>
      </w:r>
      <w:r w:rsidR="00D51924" w:rsidRPr="00D51924">
        <w:rPr>
          <w:i/>
        </w:rPr>
        <w:t>ownership</w:t>
      </w:r>
      <w:r w:rsidR="00D51924">
        <w:t xml:space="preserve"> independent of transferring </w:t>
      </w:r>
      <w:r w:rsidR="00D51924" w:rsidRPr="00DF51E9">
        <w:rPr>
          <w:i/>
        </w:rPr>
        <w:t>authorship</w:t>
      </w:r>
      <w:r w:rsidR="00D51924">
        <w:t>.</w:t>
      </w:r>
      <w:r w:rsidR="00DF51E9">
        <w:t xml:space="preserve"> </w:t>
      </w:r>
      <w:r w:rsidR="00C0216C">
        <w:t xml:space="preserve">17 </w:t>
      </w:r>
      <w:r w:rsidR="00DF51E9">
        <w:t xml:space="preserve">U.S.C. § 201(d). This transfer of rights has far less serious long-term consequences for the </w:t>
      </w:r>
      <w:r w:rsidR="004C7B9D">
        <w:t>actual creator of the work, and is the obvious means of transferring copyright from one holder to another when, as in this case,</w:t>
      </w:r>
      <w:r w:rsidR="00DF51E9">
        <w:t xml:space="preserve"> a</w:t>
      </w:r>
      <w:r w:rsidR="004C7B9D">
        <w:t xml:space="preserve"> work has already been created.</w:t>
      </w:r>
    </w:p>
    <w:p w14:paraId="3A82647D" w14:textId="77777777" w:rsidR="00C0216C" w:rsidRDefault="00C0216C" w:rsidP="00C0216C">
      <w:pPr>
        <w:spacing w:line="480" w:lineRule="auto"/>
      </w:pPr>
      <w:r>
        <w:tab/>
        <w:t>For example, ordinarily under the Copyright Act, the creator of a work can negate a transfer of copyright and recover the rights to his or her own work after a period of 35 years. 17 U.S.C. § 203(a)(3). However, that right is negated in the event of a work made for hire, where the creator loses his or her legal authorship right. 17 U.S.C. § 203(a) (“In the case of any work other than a work made for hire”).</w:t>
      </w:r>
      <w:r w:rsidR="0022750E">
        <w:t xml:space="preserve"> In the event of works of significant and enduring economic value, much is lost when a work is considered a work made for hire. Those consequences only underscore the importance of a bright-line rule that both promotes clarity and skews whatever errors may result in favor of the ac</w:t>
      </w:r>
      <w:r w:rsidR="008F103A">
        <w:t>tual creators of valuable works, thus incentivizing creation in the first place.</w:t>
      </w:r>
    </w:p>
    <w:p w14:paraId="3755EAAC" w14:textId="77777777" w:rsidR="0022750E" w:rsidRDefault="0022750E" w:rsidP="00F2052D">
      <w:pPr>
        <w:spacing w:line="480" w:lineRule="auto"/>
      </w:pPr>
      <w:r>
        <w:tab/>
      </w:r>
      <w:r w:rsidR="008F103A">
        <w:t xml:space="preserve">The Plaintiff’s preferred interpretation of the statute results </w:t>
      </w:r>
      <w:r>
        <w:t>in a metaphysically incoherent result whereby one party is an author and then is no longer the author.</w:t>
      </w:r>
      <w:r w:rsidR="008F103A">
        <w:t xml:space="preserve"> Prudent policy dictates against such an interpretation. </w:t>
      </w:r>
      <w:r>
        <w:t xml:space="preserve">The very premise behind a work made for hire is that the </w:t>
      </w:r>
      <w:r>
        <w:lastRenderedPageBreak/>
        <w:t xml:space="preserve">authorship is transferred before creation of the work; as a matter of logic, only ownership of the work and not the authorship should be eligible to be transferred post-creation. Plaintiff necessarily must argue that it is and always was the author of “Anticipatory Repudiation,” and points to the fact that Elizabeth Lime wrote the screenplay with the understanding that the screenplay was a “work made for hire” and that, for all intents and purposes, Plaintiff was the author. But a work made for hire is a statutory creation, and </w:t>
      </w:r>
      <w:r w:rsidR="00A614C0">
        <w:t xml:space="preserve">a signed written agreement is incontrovertibly a necessary element of any work made for hire under the Copyright Act. Thus, until the signed written agreement came into existence on April 6, 2010, Plaintiff </w:t>
      </w:r>
      <w:r w:rsidR="00A614C0" w:rsidRPr="00A614C0">
        <w:rPr>
          <w:i/>
        </w:rPr>
        <w:t>could not</w:t>
      </w:r>
      <w:r w:rsidR="00A614C0">
        <w:t xml:space="preserve"> have been the author. Plaintiff wants this Court to find that, on April 6, it became the author of “Anticipatory Repudiation” even though the screenplay, in finished form, had already existed for several days — and, indeed, had already been copyrighted for several days. This theory of authorship is a legal fiction of the most suspicious sort, and one this Court should approach with great </w:t>
      </w:r>
      <w:r w:rsidR="008F103A">
        <w:t>skepticism</w:t>
      </w:r>
      <w:r w:rsidR="00A614C0">
        <w:t>.</w:t>
      </w:r>
    </w:p>
    <w:p w14:paraId="7618AB76" w14:textId="77777777" w:rsidR="00D94E4A" w:rsidRDefault="00D94E4A" w:rsidP="00D94E4A">
      <w:pPr>
        <w:rPr>
          <w:b/>
        </w:rPr>
      </w:pPr>
      <w:r>
        <w:rPr>
          <w:b/>
        </w:rPr>
        <w:tab/>
        <w:t>D</w:t>
      </w:r>
      <w:r w:rsidRPr="00D94E4A">
        <w:rPr>
          <w:b/>
        </w:rPr>
        <w:t>.</w:t>
      </w:r>
      <w:r>
        <w:rPr>
          <w:b/>
        </w:rPr>
        <w:tab/>
        <w:t>The Legislative History Clearl</w:t>
      </w:r>
      <w:r w:rsidR="00BA6D4B">
        <w:rPr>
          <w:b/>
        </w:rPr>
        <w:t>y Shows that the Copyright Act W</w:t>
      </w:r>
      <w:r>
        <w:rPr>
          <w:b/>
        </w:rPr>
        <w:t xml:space="preserve">as </w:t>
      </w:r>
      <w:r>
        <w:rPr>
          <w:b/>
        </w:rPr>
        <w:tab/>
      </w:r>
      <w:r>
        <w:rPr>
          <w:b/>
        </w:rPr>
        <w:tab/>
      </w:r>
      <w:r>
        <w:rPr>
          <w:b/>
        </w:rPr>
        <w:tab/>
      </w:r>
      <w:r>
        <w:rPr>
          <w:b/>
        </w:rPr>
        <w:tab/>
        <w:t>Understood to Require the Existenc</w:t>
      </w:r>
      <w:r w:rsidR="001A57FB">
        <w:rPr>
          <w:b/>
        </w:rPr>
        <w:t xml:space="preserve">e of a Signed Written Agreement </w:t>
      </w:r>
      <w:r>
        <w:rPr>
          <w:b/>
        </w:rPr>
        <w:t xml:space="preserve">Prior to </w:t>
      </w:r>
      <w:r>
        <w:rPr>
          <w:b/>
        </w:rPr>
        <w:tab/>
      </w:r>
      <w:r>
        <w:rPr>
          <w:b/>
        </w:rPr>
        <w:tab/>
        <w:t>the Creation of a Work Made For Hire.</w:t>
      </w:r>
    </w:p>
    <w:p w14:paraId="2B76CC0C" w14:textId="77777777" w:rsidR="00D94E4A" w:rsidRDefault="00D94E4A" w:rsidP="00D94E4A">
      <w:pPr>
        <w:rPr>
          <w:b/>
        </w:rPr>
      </w:pPr>
    </w:p>
    <w:p w14:paraId="077EBDB5" w14:textId="77777777" w:rsidR="001A57FB" w:rsidRDefault="00D94E4A" w:rsidP="001A57FB">
      <w:pPr>
        <w:spacing w:line="480" w:lineRule="auto"/>
      </w:pPr>
      <w:r>
        <w:tab/>
      </w:r>
      <w:r w:rsidR="008B786F">
        <w:t xml:space="preserve">The legislative history reinforces the Copyright Act’s plain language and the Seventh Circuit’s interpretation of that language, and thus is further reason this Court must insist on a signed written agreement predating the creation of an alleged work made for hire. </w:t>
      </w:r>
      <w:r>
        <w:t>The legislative history shows that Congress was greatly concerned about deleterious effects of broadly construing the work-made-for-hire statute</w:t>
      </w:r>
      <w:r w:rsidR="00885583">
        <w:t xml:space="preserve">. </w:t>
      </w:r>
      <w:r w:rsidR="00885583" w:rsidRPr="00885583">
        <w:t>Barbara Ringer, Second Supplementary Report of the Register of Copyrights on the General Revision of the U.S. Copyright Law</w:t>
      </w:r>
      <w:r w:rsidR="00885583">
        <w:t xml:space="preserve"> 296</w:t>
      </w:r>
      <w:r w:rsidR="00885583" w:rsidRPr="00885583">
        <w:t xml:space="preserve"> (1st Sess. 1975)</w:t>
      </w:r>
      <w:r w:rsidR="00885583">
        <w:t xml:space="preserve">. </w:t>
      </w:r>
      <w:r>
        <w:t>Reflected in its enumerated examples under § 101(2), Congress sought to limit the scope of the work-for-hire provision and primar</w:t>
      </w:r>
      <w:r w:rsidR="008F103A">
        <w:t xml:space="preserve">ily contemplated that the statute would cover works that are </w:t>
      </w:r>
      <w:r>
        <w:lastRenderedPageBreak/>
        <w:t>mech</w:t>
      </w:r>
      <w:r w:rsidR="008F103A">
        <w:t>anical and inartistic in nature. 17 U.S.C. § 101(2). The statute identifies</w:t>
      </w:r>
      <w:r>
        <w:t xml:space="preserve"> in its very text such works as translations or</w:t>
      </w:r>
      <w:r w:rsidRPr="00C743EB">
        <w:t xml:space="preserve"> instructional text</w:t>
      </w:r>
      <w:r>
        <w:t>s, such as</w:t>
      </w:r>
      <w:r w:rsidRPr="00C743EB">
        <w:t xml:space="preserve"> test</w:t>
      </w:r>
      <w:r w:rsidR="008F103A">
        <w:t>s,</w:t>
      </w:r>
      <w:r>
        <w:t xml:space="preserve"> answer material for</w:t>
      </w:r>
      <w:r w:rsidRPr="00C743EB">
        <w:t xml:space="preserve"> test</w:t>
      </w:r>
      <w:r>
        <w:t>s</w:t>
      </w:r>
      <w:r w:rsidR="008F103A">
        <w:t>, or</w:t>
      </w:r>
      <w:r w:rsidRPr="00C743EB">
        <w:t xml:space="preserve"> atlas</w:t>
      </w:r>
      <w:r w:rsidR="008F103A">
        <w:t>es</w:t>
      </w:r>
      <w:r w:rsidR="00885583">
        <w:t xml:space="preserve">. </w:t>
      </w:r>
      <w:r w:rsidR="008F103A" w:rsidRPr="008F103A">
        <w:rPr>
          <w:i/>
        </w:rPr>
        <w:t>Id</w:t>
      </w:r>
      <w:r w:rsidR="008F103A">
        <w:t xml:space="preserve">. </w:t>
      </w:r>
      <w:r>
        <w:t xml:space="preserve">Reports from the House Committee Report of the 1964 revision bill show that by “contribution to a collective work,” legislators meant to include such things as encyclopedia and dictionary entries (after lobbying from the book publishing industry) and meant to </w:t>
      </w:r>
      <w:r w:rsidRPr="00C743EB">
        <w:rPr>
          <w:i/>
        </w:rPr>
        <w:t>exclude</w:t>
      </w:r>
      <w:r>
        <w:t xml:space="preserve"> highly artis</w:t>
      </w:r>
      <w:r w:rsidR="00885583">
        <w:t xml:space="preserve">tic work, like music or novels. </w:t>
      </w:r>
      <w:r w:rsidR="00BB789C">
        <w:t>H.R. 0689, 89th Cong. § 1 149-50 (1964).</w:t>
      </w:r>
    </w:p>
    <w:p w14:paraId="244077F6" w14:textId="77777777" w:rsidR="00077484" w:rsidRDefault="001A57FB" w:rsidP="00077484">
      <w:pPr>
        <w:spacing w:line="480" w:lineRule="auto"/>
      </w:pPr>
      <w:r>
        <w:tab/>
        <w:t>As a</w:t>
      </w:r>
      <w:r w:rsidR="00BB789C">
        <w:t xml:space="preserve"> compromise,</w:t>
      </w:r>
      <w:r w:rsidR="00077484">
        <w:t xml:space="preserve"> the resulting legislation</w:t>
      </w:r>
      <w:r w:rsidR="00BB789C">
        <w:t xml:space="preserve"> </w:t>
      </w:r>
      <w:r w:rsidR="00077484">
        <w:t>includes</w:t>
      </w:r>
      <w:r w:rsidR="008F103A">
        <w:t xml:space="preserve"> the signed wri</w:t>
      </w:r>
      <w:r w:rsidR="00D94E4A">
        <w:t>t</w:t>
      </w:r>
      <w:r w:rsidR="008F103A">
        <w:t>ing</w:t>
      </w:r>
      <w:r w:rsidR="00D94E4A">
        <w:t xml:space="preserve"> requirement</w:t>
      </w:r>
      <w:r w:rsidR="00077484">
        <w:t>, which ought to be seen</w:t>
      </w:r>
      <w:r w:rsidR="00D94E4A">
        <w:t xml:space="preserve"> as a protection against entrapping as works made for hire</w:t>
      </w:r>
      <w:r w:rsidR="00077484">
        <w:t xml:space="preserve"> those</w:t>
      </w:r>
      <w:r w:rsidR="00D94E4A">
        <w:t xml:space="preserve"> works that historically had not and normatively</w:t>
      </w:r>
      <w:r w:rsidR="00077484">
        <w:t xml:space="preserve"> should not be treated as such. </w:t>
      </w:r>
      <w:r w:rsidR="00D94E4A">
        <w:t>Thus, the writing requirement should be read strictly. Highly probative of Congress’ intent when it passed the statute is a statement from Barbara Ringer</w:t>
      </w:r>
      <w:r w:rsidR="008F103A">
        <w:t xml:space="preserve"> of the U.S. Copyright Office</w:t>
      </w:r>
      <w:r w:rsidR="00D94E4A">
        <w:t xml:space="preserve">, who testified that she understood the work-for-hire provision to mean that a work “would not be considered a ‘work made for hire’ if the contract were signed later on — after the work was written, for example.” </w:t>
      </w:r>
      <w:r w:rsidR="00D94E4A" w:rsidRPr="00041D13">
        <w:t xml:space="preserve">H.R.Rep. no. 51–374, 89th Cong., 1st Sess., Part 5, </w:t>
      </w:r>
      <w:r w:rsidR="00D94E4A" w:rsidRPr="00041D13">
        <w:rPr>
          <w:i/>
        </w:rPr>
        <w:t>1964 Revision Bill with Discussion and Comments</w:t>
      </w:r>
      <w:r w:rsidR="00D94E4A" w:rsidRPr="00041D13">
        <w:t>, at 145 (1965)</w:t>
      </w:r>
      <w:r w:rsidR="00D94E4A">
        <w:t>.</w:t>
      </w:r>
    </w:p>
    <w:p w14:paraId="5846DC7A" w14:textId="77777777" w:rsidR="00077484" w:rsidRPr="00077484" w:rsidRDefault="00077484" w:rsidP="00077484">
      <w:pPr>
        <w:spacing w:line="480" w:lineRule="auto"/>
      </w:pPr>
      <w:r>
        <w:tab/>
      </w:r>
      <w:r w:rsidR="00AE4BED">
        <w:t xml:space="preserve">It is </w:t>
      </w:r>
      <w:r w:rsidR="008F103A">
        <w:t>difficult to read that testimony</w:t>
      </w:r>
      <w:r w:rsidR="00AE4BED">
        <w:t xml:space="preserve"> from Ringer, who at the time was the Register of Copyrights, and not conclude that in fact the statute means what it</w:t>
      </w:r>
      <w:r w:rsidR="008F103A">
        <w:t xml:space="preserve"> says — that the signed writing</w:t>
      </w:r>
      <w:r w:rsidR="00AE4BED">
        <w:t xml:space="preserve"> must come earlier in time than the creation of the work. Because Plaintiff does not dispute t</w:t>
      </w:r>
      <w:r w:rsidR="008F103A">
        <w:t>hat the signed writing</w:t>
      </w:r>
      <w:r w:rsidR="00AE4BED">
        <w:t xml:space="preserve"> did not exist until after “Anticipatory Repudiation” was conceived, written, completed and registered with the U.S. Copyright Office, this Court must dismiss Plaintiff’s claim.</w:t>
      </w:r>
    </w:p>
    <w:p w14:paraId="3185126E" w14:textId="77777777" w:rsidR="00F2052D" w:rsidRPr="0018546D" w:rsidRDefault="0018546D" w:rsidP="0018546D">
      <w:pPr>
        <w:spacing w:line="480" w:lineRule="auto"/>
        <w:jc w:val="center"/>
        <w:rPr>
          <w:b/>
          <w:u w:val="single"/>
        </w:rPr>
      </w:pPr>
      <w:r w:rsidRPr="0018546D">
        <w:rPr>
          <w:b/>
          <w:u w:val="single"/>
        </w:rPr>
        <w:t>CONCLUSION</w:t>
      </w:r>
    </w:p>
    <w:p w14:paraId="5920E532" w14:textId="77777777" w:rsidR="00F458A6" w:rsidRDefault="0018546D" w:rsidP="00F2052D">
      <w:pPr>
        <w:spacing w:line="480" w:lineRule="auto"/>
      </w:pPr>
      <w:r>
        <w:tab/>
      </w:r>
      <w:r w:rsidR="00F458A6" w:rsidRPr="00F458A6">
        <w:t xml:space="preserve">For all of the above reasons, the court should grant </w:t>
      </w:r>
      <w:r w:rsidR="00F458A6">
        <w:t xml:space="preserve">the </w:t>
      </w:r>
      <w:r w:rsidR="008F103A">
        <w:t xml:space="preserve">Defendants’ </w:t>
      </w:r>
      <w:r w:rsidR="00F458A6">
        <w:t xml:space="preserve">motion to dismiss. </w:t>
      </w:r>
      <w:r w:rsidR="00F458A6">
        <w:lastRenderedPageBreak/>
        <w:t>There are only two means by which authorship of a work can legally vest in</w:t>
      </w:r>
      <w:r w:rsidR="00F458A6" w:rsidRPr="00F458A6">
        <w:t xml:space="preserve"> </w:t>
      </w:r>
      <w:r w:rsidR="00F458A6">
        <w:t xml:space="preserve">someone who is not the actual author, and both means must be established before the creation of the work. Lime is not an employee of OGS, and thus OGS needed to sign a contract with Lime before creation of the work in order to be its legal author. In this case, not only did OGS not sign the contract before the work was created, but it did not sign the contract after the work was registered with the Copyright Office. Thus, accepting all of OGS’ </w:t>
      </w:r>
      <w:r w:rsidR="008C2EC9">
        <w:t>allegations as true, there is no</w:t>
      </w:r>
      <w:r w:rsidR="00F458A6">
        <w:t xml:space="preserve"> claim upon which the court can grant relief and the claim must be dismissed as a matter of law</w:t>
      </w:r>
      <w:r w:rsidR="00F458A6" w:rsidRPr="00F458A6">
        <w:t>.</w:t>
      </w:r>
    </w:p>
    <w:p w14:paraId="5E0583D5" w14:textId="77777777" w:rsidR="00D106DF" w:rsidRDefault="00D106DF" w:rsidP="00F2052D">
      <w:pPr>
        <w:spacing w:line="480" w:lineRule="auto"/>
      </w:pPr>
    </w:p>
    <w:p w14:paraId="149F65F6" w14:textId="77777777" w:rsidR="00F2052D" w:rsidRDefault="00F2052D" w:rsidP="00F2052D">
      <w:pPr>
        <w:tabs>
          <w:tab w:val="left" w:pos="720"/>
        </w:tabs>
        <w:jc w:val="both"/>
      </w:pPr>
      <w:r>
        <w:t>Dated: _____</w:t>
      </w:r>
      <w:r>
        <w:rPr>
          <w:u w:val="single"/>
        </w:rPr>
        <w:t xml:space="preserve">March </w:t>
      </w:r>
      <w:r w:rsidR="008C2EC9">
        <w:rPr>
          <w:u w:val="single"/>
        </w:rPr>
        <w:t>22</w:t>
      </w:r>
      <w:r>
        <w:rPr>
          <w:u w:val="single"/>
        </w:rPr>
        <w:t>, 2012</w:t>
      </w:r>
      <w:r>
        <w:rPr>
          <w:u w:val="single"/>
        </w:rPr>
        <w:tab/>
        <w:t xml:space="preserve">       </w:t>
      </w:r>
      <w:r>
        <w:tab/>
      </w:r>
      <w:r>
        <w:tab/>
      </w:r>
      <w:r>
        <w:tab/>
      </w:r>
      <w:r>
        <w:tab/>
        <w:t>Respectfully submitted,</w:t>
      </w:r>
    </w:p>
    <w:p w14:paraId="42175134" w14:textId="77777777" w:rsidR="00F2052D" w:rsidRDefault="00F2052D" w:rsidP="00F2052D">
      <w:pPr>
        <w:tabs>
          <w:tab w:val="left" w:pos="720"/>
        </w:tabs>
        <w:jc w:val="both"/>
      </w:pPr>
    </w:p>
    <w:p w14:paraId="139312A2" w14:textId="77777777" w:rsidR="00F2052D" w:rsidRDefault="00F2052D" w:rsidP="00F2052D">
      <w:pPr>
        <w:tabs>
          <w:tab w:val="left" w:pos="720"/>
        </w:tabs>
        <w:jc w:val="both"/>
      </w:pPr>
    </w:p>
    <w:p w14:paraId="0C3E830F" w14:textId="77777777" w:rsidR="00F2052D" w:rsidRDefault="00F2052D" w:rsidP="00F04865">
      <w:pPr>
        <w:tabs>
          <w:tab w:val="left" w:pos="720"/>
        </w:tabs>
        <w:jc w:val="both"/>
      </w:pPr>
      <w:r>
        <w:tab/>
      </w:r>
      <w:r>
        <w:tab/>
      </w:r>
      <w:r>
        <w:tab/>
      </w:r>
      <w:r>
        <w:tab/>
      </w:r>
      <w:r>
        <w:tab/>
      </w:r>
      <w:r>
        <w:tab/>
      </w:r>
      <w:r>
        <w:tab/>
      </w:r>
      <w:r>
        <w:tab/>
      </w:r>
      <w:r w:rsidR="00F04865">
        <w:rPr>
          <w:szCs w:val="24"/>
        </w:rPr>
        <w:t>&lt;redacted&gt;&lt;/redacted&gt;</w:t>
      </w:r>
      <w:bookmarkStart w:id="0" w:name="_GoBack"/>
      <w:bookmarkEnd w:id="0"/>
    </w:p>
    <w:p w14:paraId="55367E63" w14:textId="77777777" w:rsidR="00F2052D" w:rsidRDefault="00F2052D" w:rsidP="00F2052D">
      <w:pPr>
        <w:tabs>
          <w:tab w:val="left" w:pos="720"/>
        </w:tabs>
        <w:jc w:val="both"/>
      </w:pPr>
    </w:p>
    <w:p w14:paraId="269B6EB0" w14:textId="77777777" w:rsidR="00F2052D" w:rsidRDefault="00F2052D" w:rsidP="00F2052D">
      <w:pPr>
        <w:tabs>
          <w:tab w:val="left" w:pos="720"/>
        </w:tabs>
        <w:jc w:val="both"/>
      </w:pPr>
      <w:r>
        <w:tab/>
      </w:r>
      <w:r>
        <w:tab/>
      </w:r>
      <w:r>
        <w:tab/>
      </w:r>
      <w:r>
        <w:tab/>
      </w:r>
      <w:r>
        <w:tab/>
      </w:r>
      <w:r>
        <w:tab/>
      </w:r>
      <w:r>
        <w:tab/>
      </w:r>
      <w:r>
        <w:tab/>
        <w:t>ATTORNEY FOR DEFENDANTS</w:t>
      </w:r>
    </w:p>
    <w:p w14:paraId="33F21DCB" w14:textId="77777777" w:rsidR="00B71EB8" w:rsidRPr="00D106DF" w:rsidRDefault="00F2052D" w:rsidP="00F2052D">
      <w:r>
        <w:tab/>
      </w:r>
      <w:r>
        <w:tab/>
      </w:r>
      <w:r>
        <w:tab/>
      </w:r>
      <w:r>
        <w:tab/>
      </w:r>
      <w:r>
        <w:tab/>
      </w:r>
      <w:r>
        <w:tab/>
      </w:r>
      <w:r>
        <w:tab/>
      </w:r>
      <w:r>
        <w:tab/>
        <w:t xml:space="preserve">ELIZABETH LIME AND TINYTV, </w:t>
      </w:r>
      <w:r>
        <w:tab/>
      </w:r>
      <w:r>
        <w:tab/>
      </w:r>
      <w:r>
        <w:tab/>
      </w:r>
      <w:r>
        <w:tab/>
      </w:r>
      <w:r>
        <w:tab/>
      </w:r>
      <w:r>
        <w:tab/>
      </w:r>
      <w:r>
        <w:tab/>
      </w:r>
      <w:r>
        <w:tab/>
        <w:t>INC.</w:t>
      </w:r>
    </w:p>
    <w:sectPr w:rsidR="00B71EB8" w:rsidRPr="00D106DF" w:rsidSect="008F555C">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0B9AB0" w14:textId="77777777" w:rsidR="007A65C1" w:rsidRDefault="007A65C1" w:rsidP="00891319">
      <w:r>
        <w:separator/>
      </w:r>
    </w:p>
  </w:endnote>
  <w:endnote w:type="continuationSeparator" w:id="0">
    <w:p w14:paraId="3D5A6443" w14:textId="77777777" w:rsidR="007A65C1" w:rsidRDefault="007A65C1" w:rsidP="008913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E10002FF" w:usb1="4000ACFF" w:usb2="00000009" w:usb3="00000000" w:csb0="0000019F" w:csb1="00000000"/>
  </w:font>
  <w:font w:name="Times New Roman">
    <w:panose1 w:val="02020603050405020304"/>
    <w:charset w:val="00"/>
    <w:family w:val="auto"/>
    <w:pitch w:val="variable"/>
    <w:sig w:usb0="E0002AFF" w:usb1="C0007841" w:usb2="00000009" w:usb3="00000000" w:csb0="000001FF" w:csb1="00000000"/>
  </w:font>
  <w:font w:name="Tahom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20555644"/>
      <w:docPartObj>
        <w:docPartGallery w:val="Page Numbers (Bottom of Page)"/>
        <w:docPartUnique/>
      </w:docPartObj>
    </w:sdtPr>
    <w:sdtEndPr>
      <w:rPr>
        <w:noProof/>
      </w:rPr>
    </w:sdtEndPr>
    <w:sdtContent>
      <w:p w14:paraId="59C188A2" w14:textId="77777777" w:rsidR="00F82268" w:rsidRDefault="00047331">
        <w:pPr>
          <w:pStyle w:val="Footer"/>
          <w:jc w:val="center"/>
        </w:pPr>
        <w:r>
          <w:fldChar w:fldCharType="begin"/>
        </w:r>
        <w:r>
          <w:instrText xml:space="preserve"> PAGE   \* MERGEFORMAT </w:instrText>
        </w:r>
        <w:r>
          <w:fldChar w:fldCharType="separate"/>
        </w:r>
        <w:r w:rsidR="00F04865">
          <w:rPr>
            <w:noProof/>
          </w:rPr>
          <w:t>9</w:t>
        </w:r>
        <w:r>
          <w:rPr>
            <w:noProof/>
          </w:rPr>
          <w:fldChar w:fldCharType="end"/>
        </w:r>
      </w:p>
    </w:sdtContent>
  </w:sdt>
  <w:p w14:paraId="70A3A72F" w14:textId="77777777" w:rsidR="00F82268" w:rsidRDefault="00F82268">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6DD600" w14:textId="77777777" w:rsidR="007A65C1" w:rsidRDefault="007A65C1" w:rsidP="00891319">
      <w:r>
        <w:separator/>
      </w:r>
    </w:p>
  </w:footnote>
  <w:footnote w:type="continuationSeparator" w:id="0">
    <w:p w14:paraId="2CB571D3" w14:textId="77777777" w:rsidR="007A65C1" w:rsidRDefault="007A65C1" w:rsidP="0089131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052D"/>
    <w:rsid w:val="000347D6"/>
    <w:rsid w:val="00041D13"/>
    <w:rsid w:val="00047331"/>
    <w:rsid w:val="00077484"/>
    <w:rsid w:val="000A4A94"/>
    <w:rsid w:val="000E1054"/>
    <w:rsid w:val="000F0AB6"/>
    <w:rsid w:val="00141D0B"/>
    <w:rsid w:val="00170F27"/>
    <w:rsid w:val="001736B6"/>
    <w:rsid w:val="0018546D"/>
    <w:rsid w:val="001A57FB"/>
    <w:rsid w:val="001B6B40"/>
    <w:rsid w:val="002212EB"/>
    <w:rsid w:val="0022750E"/>
    <w:rsid w:val="0023461E"/>
    <w:rsid w:val="002579AE"/>
    <w:rsid w:val="002B4980"/>
    <w:rsid w:val="002C0A90"/>
    <w:rsid w:val="002C7BCA"/>
    <w:rsid w:val="002D440C"/>
    <w:rsid w:val="002E3DCF"/>
    <w:rsid w:val="002E60C5"/>
    <w:rsid w:val="00303EE0"/>
    <w:rsid w:val="003209C6"/>
    <w:rsid w:val="00346BEF"/>
    <w:rsid w:val="00362CEF"/>
    <w:rsid w:val="00374DDF"/>
    <w:rsid w:val="00392092"/>
    <w:rsid w:val="003C2E35"/>
    <w:rsid w:val="003F6BF8"/>
    <w:rsid w:val="00407E5D"/>
    <w:rsid w:val="00432471"/>
    <w:rsid w:val="00464198"/>
    <w:rsid w:val="004642AE"/>
    <w:rsid w:val="00482DE7"/>
    <w:rsid w:val="004A4488"/>
    <w:rsid w:val="004A5A10"/>
    <w:rsid w:val="004B3E80"/>
    <w:rsid w:val="004C7B9D"/>
    <w:rsid w:val="004D05F2"/>
    <w:rsid w:val="004D0ED6"/>
    <w:rsid w:val="004F3281"/>
    <w:rsid w:val="004F4D01"/>
    <w:rsid w:val="005206B9"/>
    <w:rsid w:val="005A5931"/>
    <w:rsid w:val="005D3EA9"/>
    <w:rsid w:val="005E017B"/>
    <w:rsid w:val="00640E88"/>
    <w:rsid w:val="00670FC0"/>
    <w:rsid w:val="0067699B"/>
    <w:rsid w:val="006B011C"/>
    <w:rsid w:val="006F56F4"/>
    <w:rsid w:val="00715976"/>
    <w:rsid w:val="007674AF"/>
    <w:rsid w:val="00785C80"/>
    <w:rsid w:val="00791963"/>
    <w:rsid w:val="007A142D"/>
    <w:rsid w:val="007A65C1"/>
    <w:rsid w:val="007F096B"/>
    <w:rsid w:val="008052E6"/>
    <w:rsid w:val="00810A5E"/>
    <w:rsid w:val="00817B4D"/>
    <w:rsid w:val="008225AC"/>
    <w:rsid w:val="008528E3"/>
    <w:rsid w:val="00885583"/>
    <w:rsid w:val="00887195"/>
    <w:rsid w:val="00891319"/>
    <w:rsid w:val="008B786F"/>
    <w:rsid w:val="008C2EC9"/>
    <w:rsid w:val="008D487F"/>
    <w:rsid w:val="008E1007"/>
    <w:rsid w:val="008F103A"/>
    <w:rsid w:val="008F3C52"/>
    <w:rsid w:val="008F555C"/>
    <w:rsid w:val="00961763"/>
    <w:rsid w:val="00966B74"/>
    <w:rsid w:val="0099325A"/>
    <w:rsid w:val="009D778F"/>
    <w:rsid w:val="009E5D26"/>
    <w:rsid w:val="009F1CD9"/>
    <w:rsid w:val="009F1EB3"/>
    <w:rsid w:val="00A1526F"/>
    <w:rsid w:val="00A20D7A"/>
    <w:rsid w:val="00A514B5"/>
    <w:rsid w:val="00A614C0"/>
    <w:rsid w:val="00A62271"/>
    <w:rsid w:val="00A64367"/>
    <w:rsid w:val="00AB1F26"/>
    <w:rsid w:val="00AC20FE"/>
    <w:rsid w:val="00AE4BED"/>
    <w:rsid w:val="00B05C33"/>
    <w:rsid w:val="00B50718"/>
    <w:rsid w:val="00B50D2E"/>
    <w:rsid w:val="00B5255C"/>
    <w:rsid w:val="00B71EB8"/>
    <w:rsid w:val="00BA6D4B"/>
    <w:rsid w:val="00BB3765"/>
    <w:rsid w:val="00BB789C"/>
    <w:rsid w:val="00BD301A"/>
    <w:rsid w:val="00BD551A"/>
    <w:rsid w:val="00C0216C"/>
    <w:rsid w:val="00C07888"/>
    <w:rsid w:val="00C13260"/>
    <w:rsid w:val="00C743EB"/>
    <w:rsid w:val="00C86C9F"/>
    <w:rsid w:val="00CB5CED"/>
    <w:rsid w:val="00D106DF"/>
    <w:rsid w:val="00D47370"/>
    <w:rsid w:val="00D51924"/>
    <w:rsid w:val="00D67613"/>
    <w:rsid w:val="00D94E4A"/>
    <w:rsid w:val="00DF51E9"/>
    <w:rsid w:val="00E26535"/>
    <w:rsid w:val="00EA01C8"/>
    <w:rsid w:val="00EC7C5C"/>
    <w:rsid w:val="00F04865"/>
    <w:rsid w:val="00F061DC"/>
    <w:rsid w:val="00F1161D"/>
    <w:rsid w:val="00F2052D"/>
    <w:rsid w:val="00F458A6"/>
    <w:rsid w:val="00F46E0F"/>
    <w:rsid w:val="00F57DDF"/>
    <w:rsid w:val="00F61CFF"/>
    <w:rsid w:val="00F74487"/>
    <w:rsid w:val="00F772AE"/>
    <w:rsid w:val="00F82268"/>
    <w:rsid w:val="00FB49E5"/>
    <w:rsid w:val="00FE63AE"/>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6072EF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052D"/>
    <w:pPr>
      <w:widowControl w:val="0"/>
      <w:spacing w:after="0" w:line="240" w:lineRule="auto"/>
    </w:pPr>
    <w:rPr>
      <w:rFonts w:ascii="Times New Roman" w:eastAsia="Times New Roman" w:hAnsi="Times New Roman" w:cs="Times New Roman"/>
      <w:snapToGrid w:val="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2052D"/>
    <w:pPr>
      <w:widowControl/>
      <w:tabs>
        <w:tab w:val="center" w:pos="4320"/>
        <w:tab w:val="right" w:pos="8640"/>
      </w:tabs>
    </w:pPr>
    <w:rPr>
      <w:snapToGrid/>
    </w:rPr>
  </w:style>
  <w:style w:type="character" w:customStyle="1" w:styleId="FooterChar">
    <w:name w:val="Footer Char"/>
    <w:basedOn w:val="DefaultParagraphFont"/>
    <w:link w:val="Footer"/>
    <w:uiPriority w:val="99"/>
    <w:rsid w:val="00F2052D"/>
    <w:rPr>
      <w:rFonts w:ascii="Times New Roman" w:eastAsia="Times New Roman" w:hAnsi="Times New Roman" w:cs="Times New Roman"/>
      <w:sz w:val="24"/>
      <w:szCs w:val="20"/>
    </w:rPr>
  </w:style>
  <w:style w:type="paragraph" w:styleId="BodyText">
    <w:name w:val="Body Text"/>
    <w:basedOn w:val="Normal"/>
    <w:link w:val="BodyTextChar"/>
    <w:rsid w:val="00F2052D"/>
    <w:pPr>
      <w:jc w:val="both"/>
    </w:pPr>
  </w:style>
  <w:style w:type="character" w:customStyle="1" w:styleId="BodyTextChar">
    <w:name w:val="Body Text Char"/>
    <w:basedOn w:val="DefaultParagraphFont"/>
    <w:link w:val="BodyText"/>
    <w:rsid w:val="00F2052D"/>
    <w:rPr>
      <w:rFonts w:ascii="Times New Roman" w:eastAsia="Times New Roman" w:hAnsi="Times New Roman" w:cs="Times New Roman"/>
      <w:snapToGrid w:val="0"/>
      <w:sz w:val="24"/>
      <w:szCs w:val="20"/>
    </w:rPr>
  </w:style>
  <w:style w:type="paragraph" w:styleId="BodyTextIndent">
    <w:name w:val="Body Text Indent"/>
    <w:basedOn w:val="Normal"/>
    <w:link w:val="BodyTextIndentChar"/>
    <w:uiPriority w:val="99"/>
    <w:semiHidden/>
    <w:unhideWhenUsed/>
    <w:rsid w:val="00F2052D"/>
    <w:pPr>
      <w:spacing w:after="120"/>
      <w:ind w:left="360"/>
    </w:pPr>
  </w:style>
  <w:style w:type="character" w:customStyle="1" w:styleId="BodyTextIndentChar">
    <w:name w:val="Body Text Indent Char"/>
    <w:basedOn w:val="DefaultParagraphFont"/>
    <w:link w:val="BodyTextIndent"/>
    <w:uiPriority w:val="99"/>
    <w:semiHidden/>
    <w:rsid w:val="00F2052D"/>
    <w:rPr>
      <w:rFonts w:ascii="Times New Roman" w:eastAsia="Times New Roman" w:hAnsi="Times New Roman" w:cs="Times New Roman"/>
      <w:snapToGrid w:val="0"/>
      <w:sz w:val="24"/>
      <w:szCs w:val="20"/>
    </w:rPr>
  </w:style>
  <w:style w:type="character" w:styleId="Strong">
    <w:name w:val="Strong"/>
    <w:basedOn w:val="DefaultParagraphFont"/>
    <w:uiPriority w:val="22"/>
    <w:qFormat/>
    <w:rsid w:val="00891319"/>
    <w:rPr>
      <w:b/>
      <w:bCs/>
    </w:rPr>
  </w:style>
  <w:style w:type="paragraph" w:styleId="Header">
    <w:name w:val="header"/>
    <w:basedOn w:val="Normal"/>
    <w:link w:val="HeaderChar"/>
    <w:uiPriority w:val="99"/>
    <w:unhideWhenUsed/>
    <w:rsid w:val="00891319"/>
    <w:pPr>
      <w:tabs>
        <w:tab w:val="center" w:pos="4680"/>
        <w:tab w:val="right" w:pos="9360"/>
      </w:tabs>
    </w:pPr>
  </w:style>
  <w:style w:type="character" w:customStyle="1" w:styleId="HeaderChar">
    <w:name w:val="Header Char"/>
    <w:basedOn w:val="DefaultParagraphFont"/>
    <w:link w:val="Header"/>
    <w:uiPriority w:val="99"/>
    <w:rsid w:val="00891319"/>
    <w:rPr>
      <w:rFonts w:ascii="Times New Roman" w:eastAsia="Times New Roman" w:hAnsi="Times New Roman" w:cs="Times New Roman"/>
      <w:snapToGrid w:val="0"/>
      <w:sz w:val="24"/>
      <w:szCs w:val="20"/>
    </w:rPr>
  </w:style>
  <w:style w:type="paragraph" w:styleId="BalloonText">
    <w:name w:val="Balloon Text"/>
    <w:basedOn w:val="Normal"/>
    <w:link w:val="BalloonTextChar"/>
    <w:uiPriority w:val="99"/>
    <w:semiHidden/>
    <w:unhideWhenUsed/>
    <w:rsid w:val="009E5D26"/>
    <w:rPr>
      <w:rFonts w:ascii="Tahoma" w:hAnsi="Tahoma" w:cs="Tahoma"/>
      <w:sz w:val="16"/>
      <w:szCs w:val="16"/>
    </w:rPr>
  </w:style>
  <w:style w:type="character" w:customStyle="1" w:styleId="BalloonTextChar">
    <w:name w:val="Balloon Text Char"/>
    <w:basedOn w:val="DefaultParagraphFont"/>
    <w:link w:val="BalloonText"/>
    <w:uiPriority w:val="99"/>
    <w:semiHidden/>
    <w:rsid w:val="009E5D26"/>
    <w:rPr>
      <w:rFonts w:ascii="Tahoma" w:eastAsia="Times New Roman" w:hAnsi="Tahoma" w:cs="Tahoma"/>
      <w:snapToGrid w:val="0"/>
      <w:sz w:val="16"/>
      <w:szCs w:val="16"/>
    </w:rPr>
  </w:style>
  <w:style w:type="character" w:styleId="CommentReference">
    <w:name w:val="annotation reference"/>
    <w:basedOn w:val="DefaultParagraphFont"/>
    <w:uiPriority w:val="99"/>
    <w:semiHidden/>
    <w:unhideWhenUsed/>
    <w:rsid w:val="008F3C52"/>
    <w:rPr>
      <w:sz w:val="16"/>
      <w:szCs w:val="16"/>
    </w:rPr>
  </w:style>
  <w:style w:type="paragraph" w:styleId="CommentText">
    <w:name w:val="annotation text"/>
    <w:basedOn w:val="Normal"/>
    <w:link w:val="CommentTextChar"/>
    <w:uiPriority w:val="99"/>
    <w:semiHidden/>
    <w:unhideWhenUsed/>
    <w:rsid w:val="008F3C52"/>
    <w:rPr>
      <w:sz w:val="20"/>
    </w:rPr>
  </w:style>
  <w:style w:type="character" w:customStyle="1" w:styleId="CommentTextChar">
    <w:name w:val="Comment Text Char"/>
    <w:basedOn w:val="DefaultParagraphFont"/>
    <w:link w:val="CommentText"/>
    <w:uiPriority w:val="99"/>
    <w:semiHidden/>
    <w:rsid w:val="008F3C52"/>
    <w:rPr>
      <w:rFonts w:ascii="Times New Roman" w:eastAsia="Times New Roman" w:hAnsi="Times New Roman" w:cs="Times New Roman"/>
      <w:snapToGrid w:val="0"/>
      <w:sz w:val="20"/>
      <w:szCs w:val="20"/>
    </w:rPr>
  </w:style>
  <w:style w:type="paragraph" w:styleId="CommentSubject">
    <w:name w:val="annotation subject"/>
    <w:basedOn w:val="CommentText"/>
    <w:next w:val="CommentText"/>
    <w:link w:val="CommentSubjectChar"/>
    <w:uiPriority w:val="99"/>
    <w:semiHidden/>
    <w:unhideWhenUsed/>
    <w:rsid w:val="008F3C52"/>
    <w:rPr>
      <w:b/>
      <w:bCs/>
    </w:rPr>
  </w:style>
  <w:style w:type="character" w:customStyle="1" w:styleId="CommentSubjectChar">
    <w:name w:val="Comment Subject Char"/>
    <w:basedOn w:val="CommentTextChar"/>
    <w:link w:val="CommentSubject"/>
    <w:uiPriority w:val="99"/>
    <w:semiHidden/>
    <w:rsid w:val="008F3C52"/>
    <w:rPr>
      <w:rFonts w:ascii="Times New Roman" w:eastAsia="Times New Roman" w:hAnsi="Times New Roman" w:cs="Times New Roman"/>
      <w:b/>
      <w:bCs/>
      <w:snapToGrid w:val="0"/>
      <w:sz w:val="20"/>
      <w:szCs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052D"/>
    <w:pPr>
      <w:widowControl w:val="0"/>
      <w:spacing w:after="0" w:line="240" w:lineRule="auto"/>
    </w:pPr>
    <w:rPr>
      <w:rFonts w:ascii="Times New Roman" w:eastAsia="Times New Roman" w:hAnsi="Times New Roman" w:cs="Times New Roman"/>
      <w:snapToGrid w:val="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2052D"/>
    <w:pPr>
      <w:widowControl/>
      <w:tabs>
        <w:tab w:val="center" w:pos="4320"/>
        <w:tab w:val="right" w:pos="8640"/>
      </w:tabs>
    </w:pPr>
    <w:rPr>
      <w:snapToGrid/>
    </w:rPr>
  </w:style>
  <w:style w:type="character" w:customStyle="1" w:styleId="FooterChar">
    <w:name w:val="Footer Char"/>
    <w:basedOn w:val="DefaultParagraphFont"/>
    <w:link w:val="Footer"/>
    <w:uiPriority w:val="99"/>
    <w:rsid w:val="00F2052D"/>
    <w:rPr>
      <w:rFonts w:ascii="Times New Roman" w:eastAsia="Times New Roman" w:hAnsi="Times New Roman" w:cs="Times New Roman"/>
      <w:sz w:val="24"/>
      <w:szCs w:val="20"/>
    </w:rPr>
  </w:style>
  <w:style w:type="paragraph" w:styleId="BodyText">
    <w:name w:val="Body Text"/>
    <w:basedOn w:val="Normal"/>
    <w:link w:val="BodyTextChar"/>
    <w:rsid w:val="00F2052D"/>
    <w:pPr>
      <w:jc w:val="both"/>
    </w:pPr>
  </w:style>
  <w:style w:type="character" w:customStyle="1" w:styleId="BodyTextChar">
    <w:name w:val="Body Text Char"/>
    <w:basedOn w:val="DefaultParagraphFont"/>
    <w:link w:val="BodyText"/>
    <w:rsid w:val="00F2052D"/>
    <w:rPr>
      <w:rFonts w:ascii="Times New Roman" w:eastAsia="Times New Roman" w:hAnsi="Times New Roman" w:cs="Times New Roman"/>
      <w:snapToGrid w:val="0"/>
      <w:sz w:val="24"/>
      <w:szCs w:val="20"/>
    </w:rPr>
  </w:style>
  <w:style w:type="paragraph" w:styleId="BodyTextIndent">
    <w:name w:val="Body Text Indent"/>
    <w:basedOn w:val="Normal"/>
    <w:link w:val="BodyTextIndentChar"/>
    <w:uiPriority w:val="99"/>
    <w:semiHidden/>
    <w:unhideWhenUsed/>
    <w:rsid w:val="00F2052D"/>
    <w:pPr>
      <w:spacing w:after="120"/>
      <w:ind w:left="360"/>
    </w:pPr>
  </w:style>
  <w:style w:type="character" w:customStyle="1" w:styleId="BodyTextIndentChar">
    <w:name w:val="Body Text Indent Char"/>
    <w:basedOn w:val="DefaultParagraphFont"/>
    <w:link w:val="BodyTextIndent"/>
    <w:uiPriority w:val="99"/>
    <w:semiHidden/>
    <w:rsid w:val="00F2052D"/>
    <w:rPr>
      <w:rFonts w:ascii="Times New Roman" w:eastAsia="Times New Roman" w:hAnsi="Times New Roman" w:cs="Times New Roman"/>
      <w:snapToGrid w:val="0"/>
      <w:sz w:val="24"/>
      <w:szCs w:val="20"/>
    </w:rPr>
  </w:style>
  <w:style w:type="character" w:styleId="Strong">
    <w:name w:val="Strong"/>
    <w:basedOn w:val="DefaultParagraphFont"/>
    <w:uiPriority w:val="22"/>
    <w:qFormat/>
    <w:rsid w:val="00891319"/>
    <w:rPr>
      <w:b/>
      <w:bCs/>
    </w:rPr>
  </w:style>
  <w:style w:type="paragraph" w:styleId="Header">
    <w:name w:val="header"/>
    <w:basedOn w:val="Normal"/>
    <w:link w:val="HeaderChar"/>
    <w:uiPriority w:val="99"/>
    <w:unhideWhenUsed/>
    <w:rsid w:val="00891319"/>
    <w:pPr>
      <w:tabs>
        <w:tab w:val="center" w:pos="4680"/>
        <w:tab w:val="right" w:pos="9360"/>
      </w:tabs>
    </w:pPr>
  </w:style>
  <w:style w:type="character" w:customStyle="1" w:styleId="HeaderChar">
    <w:name w:val="Header Char"/>
    <w:basedOn w:val="DefaultParagraphFont"/>
    <w:link w:val="Header"/>
    <w:uiPriority w:val="99"/>
    <w:rsid w:val="00891319"/>
    <w:rPr>
      <w:rFonts w:ascii="Times New Roman" w:eastAsia="Times New Roman" w:hAnsi="Times New Roman" w:cs="Times New Roman"/>
      <w:snapToGrid w:val="0"/>
      <w:sz w:val="24"/>
      <w:szCs w:val="20"/>
    </w:rPr>
  </w:style>
  <w:style w:type="paragraph" w:styleId="BalloonText">
    <w:name w:val="Balloon Text"/>
    <w:basedOn w:val="Normal"/>
    <w:link w:val="BalloonTextChar"/>
    <w:uiPriority w:val="99"/>
    <w:semiHidden/>
    <w:unhideWhenUsed/>
    <w:rsid w:val="009E5D26"/>
    <w:rPr>
      <w:rFonts w:ascii="Tahoma" w:hAnsi="Tahoma" w:cs="Tahoma"/>
      <w:sz w:val="16"/>
      <w:szCs w:val="16"/>
    </w:rPr>
  </w:style>
  <w:style w:type="character" w:customStyle="1" w:styleId="BalloonTextChar">
    <w:name w:val="Balloon Text Char"/>
    <w:basedOn w:val="DefaultParagraphFont"/>
    <w:link w:val="BalloonText"/>
    <w:uiPriority w:val="99"/>
    <w:semiHidden/>
    <w:rsid w:val="009E5D26"/>
    <w:rPr>
      <w:rFonts w:ascii="Tahoma" w:eastAsia="Times New Roman" w:hAnsi="Tahoma" w:cs="Tahoma"/>
      <w:snapToGrid w:val="0"/>
      <w:sz w:val="16"/>
      <w:szCs w:val="16"/>
    </w:rPr>
  </w:style>
  <w:style w:type="character" w:styleId="CommentReference">
    <w:name w:val="annotation reference"/>
    <w:basedOn w:val="DefaultParagraphFont"/>
    <w:uiPriority w:val="99"/>
    <w:semiHidden/>
    <w:unhideWhenUsed/>
    <w:rsid w:val="008F3C52"/>
    <w:rPr>
      <w:sz w:val="16"/>
      <w:szCs w:val="16"/>
    </w:rPr>
  </w:style>
  <w:style w:type="paragraph" w:styleId="CommentText">
    <w:name w:val="annotation text"/>
    <w:basedOn w:val="Normal"/>
    <w:link w:val="CommentTextChar"/>
    <w:uiPriority w:val="99"/>
    <w:semiHidden/>
    <w:unhideWhenUsed/>
    <w:rsid w:val="008F3C52"/>
    <w:rPr>
      <w:sz w:val="20"/>
    </w:rPr>
  </w:style>
  <w:style w:type="character" w:customStyle="1" w:styleId="CommentTextChar">
    <w:name w:val="Comment Text Char"/>
    <w:basedOn w:val="DefaultParagraphFont"/>
    <w:link w:val="CommentText"/>
    <w:uiPriority w:val="99"/>
    <w:semiHidden/>
    <w:rsid w:val="008F3C52"/>
    <w:rPr>
      <w:rFonts w:ascii="Times New Roman" w:eastAsia="Times New Roman" w:hAnsi="Times New Roman" w:cs="Times New Roman"/>
      <w:snapToGrid w:val="0"/>
      <w:sz w:val="20"/>
      <w:szCs w:val="20"/>
    </w:rPr>
  </w:style>
  <w:style w:type="paragraph" w:styleId="CommentSubject">
    <w:name w:val="annotation subject"/>
    <w:basedOn w:val="CommentText"/>
    <w:next w:val="CommentText"/>
    <w:link w:val="CommentSubjectChar"/>
    <w:uiPriority w:val="99"/>
    <w:semiHidden/>
    <w:unhideWhenUsed/>
    <w:rsid w:val="008F3C52"/>
    <w:rPr>
      <w:b/>
      <w:bCs/>
    </w:rPr>
  </w:style>
  <w:style w:type="character" w:customStyle="1" w:styleId="CommentSubjectChar">
    <w:name w:val="Comment Subject Char"/>
    <w:basedOn w:val="CommentTextChar"/>
    <w:link w:val="CommentSubject"/>
    <w:uiPriority w:val="99"/>
    <w:semiHidden/>
    <w:rsid w:val="008F3C52"/>
    <w:rPr>
      <w:rFonts w:ascii="Times New Roman" w:eastAsia="Times New Roman" w:hAnsi="Times New Roman" w:cs="Times New Roman"/>
      <w:b/>
      <w:bCs/>
      <w:snapToGrid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1540921">
      <w:bodyDiv w:val="1"/>
      <w:marLeft w:val="0"/>
      <w:marRight w:val="0"/>
      <w:marTop w:val="0"/>
      <w:marBottom w:val="0"/>
      <w:divBdr>
        <w:top w:val="none" w:sz="0" w:space="0" w:color="auto"/>
        <w:left w:val="none" w:sz="0" w:space="0" w:color="auto"/>
        <w:bottom w:val="none" w:sz="0" w:space="0" w:color="auto"/>
        <w:right w:val="none" w:sz="0" w:space="0" w:color="auto"/>
      </w:divBdr>
      <w:divsChild>
        <w:div w:id="1336805885">
          <w:marLeft w:val="0"/>
          <w:marRight w:val="0"/>
          <w:marTop w:val="0"/>
          <w:marBottom w:val="0"/>
          <w:divBdr>
            <w:top w:val="none" w:sz="0" w:space="0" w:color="auto"/>
            <w:left w:val="none" w:sz="0" w:space="0" w:color="auto"/>
            <w:bottom w:val="none" w:sz="0" w:space="0" w:color="auto"/>
            <w:right w:val="none" w:sz="0" w:space="0" w:color="auto"/>
          </w:divBdr>
          <w:divsChild>
            <w:div w:id="138143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5213011">
      <w:bodyDiv w:val="1"/>
      <w:marLeft w:val="0"/>
      <w:marRight w:val="0"/>
      <w:marTop w:val="0"/>
      <w:marBottom w:val="0"/>
      <w:divBdr>
        <w:top w:val="none" w:sz="0" w:space="0" w:color="auto"/>
        <w:left w:val="none" w:sz="0" w:space="0" w:color="auto"/>
        <w:bottom w:val="none" w:sz="0" w:space="0" w:color="auto"/>
        <w:right w:val="none" w:sz="0" w:space="0" w:color="auto"/>
      </w:divBdr>
      <w:divsChild>
        <w:div w:id="266735799">
          <w:marLeft w:val="0"/>
          <w:marRight w:val="0"/>
          <w:marTop w:val="0"/>
          <w:marBottom w:val="0"/>
          <w:divBdr>
            <w:top w:val="none" w:sz="0" w:space="0" w:color="auto"/>
            <w:left w:val="none" w:sz="0" w:space="0" w:color="auto"/>
            <w:bottom w:val="none" w:sz="0" w:space="0" w:color="auto"/>
            <w:right w:val="none" w:sz="0" w:space="0" w:color="auto"/>
          </w:divBdr>
          <w:divsChild>
            <w:div w:id="53740847">
              <w:marLeft w:val="0"/>
              <w:marRight w:val="0"/>
              <w:marTop w:val="240"/>
              <w:marBottom w:val="0"/>
              <w:divBdr>
                <w:top w:val="none" w:sz="0" w:space="0" w:color="auto"/>
                <w:left w:val="none" w:sz="0" w:space="0" w:color="auto"/>
                <w:bottom w:val="none" w:sz="0" w:space="0" w:color="auto"/>
                <w:right w:val="none" w:sz="0" w:space="0" w:color="auto"/>
              </w:divBdr>
              <w:divsChild>
                <w:div w:id="220483673">
                  <w:marLeft w:val="0"/>
                  <w:marRight w:val="0"/>
                  <w:marTop w:val="0"/>
                  <w:marBottom w:val="0"/>
                  <w:divBdr>
                    <w:top w:val="none" w:sz="0" w:space="0" w:color="auto"/>
                    <w:left w:val="none" w:sz="0" w:space="0" w:color="auto"/>
                    <w:bottom w:val="none" w:sz="0" w:space="0" w:color="auto"/>
                    <w:right w:val="none" w:sz="0" w:space="0" w:color="auto"/>
                  </w:divBdr>
                </w:div>
              </w:divsChild>
            </w:div>
            <w:div w:id="255790378">
              <w:marLeft w:val="0"/>
              <w:marRight w:val="0"/>
              <w:marTop w:val="0"/>
              <w:marBottom w:val="0"/>
              <w:divBdr>
                <w:top w:val="none" w:sz="0" w:space="0" w:color="auto"/>
                <w:left w:val="none" w:sz="0" w:space="0" w:color="auto"/>
                <w:bottom w:val="none" w:sz="0" w:space="0" w:color="auto"/>
                <w:right w:val="none" w:sz="0" w:space="0" w:color="auto"/>
              </w:divBdr>
              <w:divsChild>
                <w:div w:id="1478261118">
                  <w:marLeft w:val="0"/>
                  <w:marRight w:val="0"/>
                  <w:marTop w:val="0"/>
                  <w:marBottom w:val="0"/>
                  <w:divBdr>
                    <w:top w:val="none" w:sz="0" w:space="0" w:color="auto"/>
                    <w:left w:val="none" w:sz="0" w:space="0" w:color="auto"/>
                    <w:bottom w:val="none" w:sz="0" w:space="0" w:color="auto"/>
                    <w:right w:val="none" w:sz="0" w:space="0" w:color="auto"/>
                  </w:divBdr>
                </w:div>
              </w:divsChild>
            </w:div>
            <w:div w:id="510264280">
              <w:marLeft w:val="0"/>
              <w:marRight w:val="0"/>
              <w:marTop w:val="0"/>
              <w:marBottom w:val="0"/>
              <w:divBdr>
                <w:top w:val="none" w:sz="0" w:space="0" w:color="auto"/>
                <w:left w:val="none" w:sz="0" w:space="0" w:color="auto"/>
                <w:bottom w:val="none" w:sz="0" w:space="0" w:color="auto"/>
                <w:right w:val="none" w:sz="0" w:space="0" w:color="auto"/>
              </w:divBdr>
            </w:div>
            <w:div w:id="1305770330">
              <w:marLeft w:val="0"/>
              <w:marRight w:val="0"/>
              <w:marTop w:val="240"/>
              <w:marBottom w:val="0"/>
              <w:divBdr>
                <w:top w:val="none" w:sz="0" w:space="0" w:color="auto"/>
                <w:left w:val="none" w:sz="0" w:space="0" w:color="auto"/>
                <w:bottom w:val="none" w:sz="0" w:space="0" w:color="auto"/>
                <w:right w:val="none" w:sz="0" w:space="0" w:color="auto"/>
              </w:divBdr>
              <w:divsChild>
                <w:div w:id="1711030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6848702">
      <w:bodyDiv w:val="1"/>
      <w:marLeft w:val="0"/>
      <w:marRight w:val="0"/>
      <w:marTop w:val="0"/>
      <w:marBottom w:val="0"/>
      <w:divBdr>
        <w:top w:val="none" w:sz="0" w:space="0" w:color="auto"/>
        <w:left w:val="none" w:sz="0" w:space="0" w:color="auto"/>
        <w:bottom w:val="none" w:sz="0" w:space="0" w:color="auto"/>
        <w:right w:val="none" w:sz="0" w:space="0" w:color="auto"/>
      </w:divBdr>
      <w:divsChild>
        <w:div w:id="1099788102">
          <w:marLeft w:val="0"/>
          <w:marRight w:val="0"/>
          <w:marTop w:val="0"/>
          <w:marBottom w:val="0"/>
          <w:divBdr>
            <w:top w:val="none" w:sz="0" w:space="0" w:color="auto"/>
            <w:left w:val="none" w:sz="0" w:space="0" w:color="auto"/>
            <w:bottom w:val="none" w:sz="0" w:space="0" w:color="auto"/>
            <w:right w:val="none" w:sz="0" w:space="0" w:color="auto"/>
          </w:divBdr>
          <w:divsChild>
            <w:div w:id="41983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footer" Target="footer1.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3425</Words>
  <Characters>17333</Characters>
  <Application>Microsoft Macintosh Word</Application>
  <DocSecurity>0</DocSecurity>
  <Lines>279</Lines>
  <Paragraphs>65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20693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Brian Larson</cp:lastModifiedBy>
  <cp:revision>3</cp:revision>
  <dcterms:created xsi:type="dcterms:W3CDTF">2012-04-11T01:56:00Z</dcterms:created>
  <dcterms:modified xsi:type="dcterms:W3CDTF">2012-06-02T12:41:00Z</dcterms:modified>
  <cp:category/>
</cp:coreProperties>
</file>